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B8" w:rsidRPr="009A1E08" w:rsidRDefault="00D54FDD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_GoBack"/>
      <w:bookmarkEnd w:id="0"/>
      <w:r w:rsidRPr="009A1E08">
        <w:rPr>
          <w:rFonts w:ascii="Times New Roman" w:eastAsia="方正小标宋简体" w:hAnsi="Times New Roman" w:cs="Times New Roman"/>
          <w:bCs/>
          <w:sz w:val="36"/>
          <w:szCs w:val="36"/>
        </w:rPr>
        <w:t>浙江省科学技术奖公示信息表</w:t>
      </w:r>
      <w:r w:rsidRPr="009A1E08">
        <w:rPr>
          <w:rFonts w:ascii="Times New Roman" w:eastAsia="仿宋_GB2312" w:hAnsi="Times New Roman" w:cs="Times New Roman"/>
          <w:bCs/>
          <w:sz w:val="32"/>
          <w:szCs w:val="32"/>
        </w:rPr>
        <w:t>（单位提名）</w:t>
      </w:r>
    </w:p>
    <w:p w:rsidR="00C92FB8" w:rsidRPr="009A1E08" w:rsidRDefault="00D54FDD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 w:rsidRPr="009A1E08">
        <w:rPr>
          <w:rFonts w:ascii="Times New Roman" w:eastAsia="仿宋_GB2312" w:hAnsi="Times New Roman" w:cs="Times New Roman"/>
          <w:sz w:val="28"/>
          <w:szCs w:val="24"/>
        </w:rPr>
        <w:t>提名奖项：</w:t>
      </w:r>
      <w:r w:rsidRPr="003D7507">
        <w:rPr>
          <w:rFonts w:ascii="宋体" w:eastAsia="宋体" w:hAnsi="宋体" w:cs="Times New Roman"/>
          <w:sz w:val="28"/>
          <w:szCs w:val="24"/>
        </w:rPr>
        <w:t>自然科学奖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917"/>
      </w:tblGrid>
      <w:tr w:rsidR="00C92FB8" w:rsidRPr="009A1E08" w:rsidTr="00891597">
        <w:trPr>
          <w:trHeight w:val="647"/>
        </w:trPr>
        <w:tc>
          <w:tcPr>
            <w:tcW w:w="1589" w:type="dxa"/>
            <w:vAlign w:val="center"/>
          </w:tcPr>
          <w:p w:rsidR="00C92FB8" w:rsidRPr="009A1E08" w:rsidRDefault="00D54FD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9A1E08">
              <w:rPr>
                <w:rFonts w:ascii="Times New Roman" w:eastAsia="仿宋_GB2312" w:hAnsi="Times New Roman" w:cs="Times New Roman"/>
                <w:sz w:val="28"/>
                <w:szCs w:val="24"/>
              </w:rPr>
              <w:t>成果名称</w:t>
            </w:r>
          </w:p>
        </w:tc>
        <w:tc>
          <w:tcPr>
            <w:tcW w:w="6917" w:type="dxa"/>
            <w:vAlign w:val="center"/>
          </w:tcPr>
          <w:p w:rsidR="00C92FB8" w:rsidRPr="003D7507" w:rsidRDefault="00D54FDD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sz w:val="28"/>
                <w:szCs w:val="24"/>
              </w:rPr>
              <w:t>综合评价基础理论与前沿问题</w:t>
            </w:r>
          </w:p>
        </w:tc>
      </w:tr>
      <w:tr w:rsidR="00C92FB8" w:rsidRPr="009A1E08" w:rsidTr="00891597">
        <w:trPr>
          <w:trHeight w:val="561"/>
        </w:trPr>
        <w:tc>
          <w:tcPr>
            <w:tcW w:w="1589" w:type="dxa"/>
            <w:vAlign w:val="center"/>
          </w:tcPr>
          <w:p w:rsidR="00C92FB8" w:rsidRPr="009A1E08" w:rsidRDefault="00D54FD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9A1E08">
              <w:rPr>
                <w:rFonts w:ascii="Times New Roman" w:eastAsia="仿宋_GB2312" w:hAnsi="Times New Roman" w:cs="Times New Roman"/>
                <w:sz w:val="28"/>
                <w:szCs w:val="24"/>
              </w:rPr>
              <w:t>提名等级</w:t>
            </w:r>
          </w:p>
        </w:tc>
        <w:tc>
          <w:tcPr>
            <w:tcW w:w="6917" w:type="dxa"/>
            <w:vAlign w:val="center"/>
          </w:tcPr>
          <w:p w:rsidR="00C92FB8" w:rsidRPr="003D7507" w:rsidRDefault="00D54FDD">
            <w:pPr>
              <w:jc w:val="center"/>
              <w:rPr>
                <w:rFonts w:ascii="Times New Roman" w:eastAsia="宋体" w:hAnsi="Times New Roman" w:cs="Times New Roman"/>
                <w:bCs/>
                <w:sz w:val="28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sz w:val="28"/>
                <w:szCs w:val="24"/>
              </w:rPr>
              <w:t>二等奖</w:t>
            </w:r>
          </w:p>
        </w:tc>
      </w:tr>
      <w:tr w:rsidR="00C92FB8" w:rsidRPr="009A1E08" w:rsidTr="00891597">
        <w:trPr>
          <w:trHeight w:val="2461"/>
        </w:trPr>
        <w:tc>
          <w:tcPr>
            <w:tcW w:w="1589" w:type="dxa"/>
            <w:vAlign w:val="center"/>
          </w:tcPr>
          <w:p w:rsidR="00C92FB8" w:rsidRPr="009A1E08" w:rsidRDefault="00D54F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9A1E08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提名书</w:t>
            </w:r>
          </w:p>
          <w:p w:rsidR="00C92FB8" w:rsidRPr="009A1E08" w:rsidRDefault="00D54F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9A1E08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相关内容</w:t>
            </w:r>
          </w:p>
        </w:tc>
        <w:tc>
          <w:tcPr>
            <w:tcW w:w="6917" w:type="dxa"/>
            <w:vAlign w:val="center"/>
          </w:tcPr>
          <w:p w:rsidR="00C92FB8" w:rsidRPr="003D7507" w:rsidRDefault="00D54FDD">
            <w:pPr>
              <w:spacing w:line="440" w:lineRule="exact"/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</w:pPr>
            <w:r w:rsidRPr="003D7507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3D7507">
              <w:rPr>
                <w:rFonts w:ascii="Times New Roman" w:eastAsia="宋体" w:hAnsi="Times New Roman" w:cs="Times New Roman"/>
                <w:bCs/>
                <w:color w:val="000000"/>
                <w:sz w:val="28"/>
                <w:szCs w:val="28"/>
              </w:rPr>
              <w:t>、</w:t>
            </w:r>
            <w:r w:rsidRPr="003D7507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主要代表性论文目录</w:t>
            </w:r>
          </w:p>
          <w:tbl>
            <w:tblPr>
              <w:tblW w:w="618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332"/>
              <w:gridCol w:w="2268"/>
              <w:gridCol w:w="991"/>
              <w:gridCol w:w="1030"/>
            </w:tblGrid>
            <w:tr w:rsidR="00891597" w:rsidRPr="009A1E08" w:rsidTr="00891597">
              <w:trPr>
                <w:trHeight w:val="1134"/>
                <w:jc w:val="center"/>
              </w:trPr>
              <w:tc>
                <w:tcPr>
                  <w:tcW w:w="45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07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1833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论文专著名称</w:t>
                  </w: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/</w:t>
                  </w: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刊名</w:t>
                  </w:r>
                </w:p>
              </w:tc>
              <w:tc>
                <w:tcPr>
                  <w:tcW w:w="80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年卷</w:t>
                  </w: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页码</w:t>
                  </w:r>
                </w:p>
              </w:tc>
              <w:tc>
                <w:tcPr>
                  <w:tcW w:w="83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发表</w:t>
                  </w:r>
                </w:p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时间</w:t>
                  </w:r>
                </w:p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（年、月）</w:t>
                  </w:r>
                </w:p>
              </w:tc>
            </w:tr>
            <w:tr w:rsidR="00891597" w:rsidRPr="009A1E08" w:rsidTr="00891597">
              <w:trPr>
                <w:trHeight w:hRule="exact" w:val="1984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苏为华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多指标综合评价理论与方法问题研究</w:t>
                  </w:r>
                  <w:r w:rsidRPr="00BA2AF3">
                    <w:rPr>
                      <w:rFonts w:ascii="Times New Roman" w:eastAsia="仿宋_GB2312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厦门大学博士学位论文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2000.09</w:t>
                  </w:r>
                </w:p>
              </w:tc>
            </w:tr>
            <w:tr w:rsidR="00891597" w:rsidRPr="009A1E08" w:rsidTr="00891597">
              <w:trPr>
                <w:trHeight w:hRule="exact" w:val="1958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11E12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Zhu, </w:t>
                  </w:r>
                  <w:proofErr w:type="gramStart"/>
                  <w:r w:rsidRPr="00D11E12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B ;</w:t>
                  </w:r>
                  <w:proofErr w:type="gramEnd"/>
                  <w:r w:rsidRPr="00D11E12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Xu, ZS 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Analytic hierarchy process-hesitant group decision making/ </w:t>
                  </w:r>
                  <w:r w:rsidRPr="00BA2AF3">
                    <w:rPr>
                      <w:rFonts w:ascii="Times New Roman" w:eastAsia="仿宋_GB2312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European Journal of Operational Research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 w:hint="eastAsia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014</w:t>
                  </w:r>
                  <w:r w:rsidRPr="00BA2AF3">
                    <w:rPr>
                      <w:rFonts w:ascii="Times New Roman" w:eastAsia="仿宋_GB2312" w:hAnsi="Times New Roman" w:cs="Times New Roman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239</w:t>
                  </w:r>
                  <w:r w:rsidRPr="00BA2AF3">
                    <w:rPr>
                      <w:rFonts w:ascii="Times New Roman" w:eastAsia="仿宋_GB2312" w:hAnsi="Times New Roman" w:cs="Times New Roman" w:hint="eastAsia"/>
                      <w:color w:val="000000" w:themeColor="text1"/>
                      <w:sz w:val="24"/>
                      <w:szCs w:val="24"/>
                    </w:rPr>
                    <w:t>:</w:t>
                  </w: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794-801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BA2AF3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2AF3">
                    <w:rPr>
                      <w:rFonts w:ascii="Times New Roman" w:eastAsia="仿宋_GB2312" w:hAnsi="Times New Roman" w:cs="Times New Roman" w:hint="eastAsia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BA2AF3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014.10</w:t>
                  </w:r>
                </w:p>
              </w:tc>
            </w:tr>
            <w:tr w:rsidR="00891597" w:rsidRPr="009A1E08" w:rsidTr="00891597">
              <w:trPr>
                <w:trHeight w:hRule="exact" w:val="2268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D11E12">
                    <w:rPr>
                      <w:rFonts w:ascii="Times New Roman" w:eastAsia="仿宋_GB2312" w:hAnsi="Times New Roman" w:cs="Times New Roman"/>
                      <w:color w:val="000000" w:themeColor="text1"/>
                      <w:sz w:val="24"/>
                      <w:szCs w:val="24"/>
                    </w:rPr>
                    <w:t>Xu, ZS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Dependent uncertain ordered weighted aggregation operators/ </w:t>
                  </w:r>
                  <w:r w:rsidRPr="009A1E08">
                    <w:rPr>
                      <w:rFonts w:ascii="Times New Roman" w:eastAsia="仿宋_GB2312" w:hAnsi="Times New Roman" w:cs="Times New Roman"/>
                      <w:i/>
                      <w:iCs/>
                      <w:sz w:val="24"/>
                      <w:szCs w:val="24"/>
                    </w:rPr>
                    <w:t>Information Fusion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008</w:t>
                  </w: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9:310-316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008.04</w:t>
                  </w:r>
                </w:p>
              </w:tc>
            </w:tr>
            <w:tr w:rsidR="00891597" w:rsidRPr="009A1E08" w:rsidTr="00891597">
              <w:trPr>
                <w:trHeight w:hRule="exact" w:val="1984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苏为华</w:t>
                  </w:r>
                  <w:r w:rsidR="008B2B60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、陈骥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B2B60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8B2B60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模糊</w:t>
                  </w:r>
                  <w:proofErr w:type="spellStart"/>
                  <w:r w:rsidRP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Borda</w:t>
                  </w:r>
                  <w:proofErr w:type="spellEnd"/>
                  <w:r w:rsidRP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法的缺陷分析及其改进思路</w:t>
                  </w:r>
                  <w:r w:rsidR="00891597"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/</w:t>
                  </w:r>
                  <w:r w:rsidR="00891597"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统计研究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B2B60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C73F95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20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07</w:t>
                  </w:r>
                  <w:r w:rsidRPr="00C73F95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,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: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58-64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B2B60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07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.0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91597" w:rsidRPr="009A1E08" w:rsidTr="00891597">
              <w:trPr>
                <w:trHeight w:hRule="exact" w:val="3257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D11E12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Lin, MW; Li, XM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; Chen, LF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Linguistic q‐rung </w:t>
                  </w:r>
                  <w:proofErr w:type="spellStart"/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orthopair</w:t>
                  </w:r>
                  <w:proofErr w:type="spellEnd"/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fuzzy sets and their interactional partitioned </w:t>
                  </w:r>
                  <w:proofErr w:type="spellStart"/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Heronian</w:t>
                  </w:r>
                  <w:proofErr w:type="spellEnd"/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 mean aggregation operators /</w:t>
                  </w:r>
                  <w:r w:rsidRPr="009A1E08">
                    <w:rPr>
                      <w:rFonts w:ascii="Times New Roman" w:eastAsia="仿宋_GB2312" w:hAnsi="Times New Roman" w:cs="Times New Roman"/>
                      <w:i/>
                      <w:iCs/>
                      <w:sz w:val="24"/>
                      <w:szCs w:val="24"/>
                    </w:rPr>
                    <w:t>International Journal of Intelligent Systems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020, 35:217-249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020.09</w:t>
                  </w:r>
                </w:p>
              </w:tc>
            </w:tr>
            <w:tr w:rsidR="00891597" w:rsidRPr="009A1E08" w:rsidTr="00891597">
              <w:trPr>
                <w:trHeight w:hRule="exact" w:val="3407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D11E12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Lin, MW; Huang, C; Chen, RQ; Fujita, H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; Wang, X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 xml:space="preserve">Directional correlation coefficient measures for Pythagorean fuzzy sets: their applications to medical diagnosis and cluster analysis/ </w:t>
                  </w:r>
                  <w:r w:rsidRPr="009A1E08">
                    <w:rPr>
                      <w:rFonts w:ascii="Times New Roman" w:eastAsia="仿宋_GB2312" w:hAnsi="Times New Roman" w:cs="Times New Roman"/>
                      <w:i/>
                      <w:iCs/>
                      <w:sz w:val="24"/>
                      <w:szCs w:val="24"/>
                    </w:rPr>
                    <w:t>Complex &amp; Intelligent Systems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021</w:t>
                  </w: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7:</w:t>
                  </w:r>
                  <w:r>
                    <w:t xml:space="preserve"> </w:t>
                  </w:r>
                  <w:r w:rsidRPr="00C73F95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1025-1043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021.02</w:t>
                  </w:r>
                </w:p>
              </w:tc>
            </w:tr>
            <w:tr w:rsidR="00891597" w:rsidRPr="009A1E08" w:rsidTr="00891597">
              <w:trPr>
                <w:trHeight w:hRule="exact" w:val="1984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苏为华、</w:t>
                  </w:r>
                  <w:r w:rsidR="008B2B60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孙利</w:t>
                  </w:r>
                  <w:r w:rsidR="00F3419E" w:rsidRPr="00F3419E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荣</w:t>
                  </w:r>
                  <w:r w:rsidR="008B2B60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、崔峰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B2B60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8B2B60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一种基于函数型数据的综合评价方法研究</w:t>
                  </w:r>
                  <w:r w:rsidR="00891597"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/</w:t>
                  </w:r>
                  <w:r w:rsidR="00891597"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统计研究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B2B60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,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: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88-94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B2B60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.0</w:t>
                  </w:r>
                  <w:r w:rsidR="008B2B60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1597" w:rsidRPr="009A1E08" w:rsidTr="00891597">
              <w:trPr>
                <w:trHeight w:hRule="exact" w:val="3393"/>
                <w:jc w:val="center"/>
              </w:trPr>
              <w:tc>
                <w:tcPr>
                  <w:tcW w:w="457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11E12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Xue</w:t>
                  </w:r>
                  <w:proofErr w:type="spellEnd"/>
                  <w:r w:rsidRPr="00D11E12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, WT; Xu, ZS; Wang, H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; Ren, ZL</w:t>
                  </w:r>
                </w:p>
              </w:tc>
              <w:tc>
                <w:tcPr>
                  <w:tcW w:w="1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9A1E08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Hazard assessment of landslide dams using the evidential reasoning algorithm with multi-scale hesitant fuzzy linguistic information/</w:t>
                  </w:r>
                  <w:r w:rsidRPr="009A1E08">
                    <w:rPr>
                      <w:rFonts w:ascii="Times New Roman" w:eastAsia="仿宋_GB2312" w:hAnsi="Times New Roman" w:cs="Times New Roman"/>
                      <w:i/>
                      <w:iCs/>
                      <w:sz w:val="24"/>
                      <w:szCs w:val="24"/>
                    </w:rPr>
                    <w:t>Applied Soft Computing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019</w:t>
                  </w: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79:74-86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597" w:rsidRPr="009A1E08" w:rsidRDefault="00891597" w:rsidP="00891597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019.06</w:t>
                  </w:r>
                </w:p>
              </w:tc>
            </w:tr>
          </w:tbl>
          <w:p w:rsidR="00C92FB8" w:rsidRPr="003D7507" w:rsidRDefault="00C92FB8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92FB8" w:rsidRPr="003D7507" w:rsidRDefault="00C92FB8">
            <w:pPr>
              <w:spacing w:line="440" w:lineRule="exact"/>
              <w:rPr>
                <w:rFonts w:ascii="Times New Roman" w:eastAsia="宋体" w:hAnsi="Times New Roman" w:cs="Times New Roman"/>
                <w:bCs/>
                <w:sz w:val="28"/>
                <w:szCs w:val="28"/>
              </w:rPr>
            </w:pPr>
          </w:p>
          <w:p w:rsidR="00C92FB8" w:rsidRPr="003D7507" w:rsidRDefault="00C92FB8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92FB8" w:rsidRPr="003D7507" w:rsidRDefault="00C92FB8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92FB8" w:rsidRPr="009A1E08" w:rsidTr="00891597">
        <w:trPr>
          <w:trHeight w:val="3251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92FB8" w:rsidRPr="009A1E08" w:rsidRDefault="00D54FD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 w:rsidRPr="009A1E08"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046"/>
              <w:gridCol w:w="1744"/>
              <w:gridCol w:w="2216"/>
            </w:tblGrid>
            <w:tr w:rsidR="00C92FB8" w:rsidRPr="003D7507">
              <w:tc>
                <w:tcPr>
                  <w:tcW w:w="1259" w:type="pct"/>
                </w:tcPr>
                <w:p w:rsidR="00C92FB8" w:rsidRPr="003D7507" w:rsidRDefault="00D54FDD">
                  <w:pPr>
                    <w:rPr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/>
                      <w:bCs/>
                      <w:kern w:val="0"/>
                      <w:sz w:val="24"/>
                      <w:szCs w:val="21"/>
                    </w:rPr>
                    <w:t>姓名</w:t>
                  </w:r>
                </w:p>
              </w:tc>
              <w:tc>
                <w:tcPr>
                  <w:tcW w:w="782" w:type="pct"/>
                </w:tcPr>
                <w:p w:rsidR="00C92FB8" w:rsidRPr="003D7507" w:rsidRDefault="00D54FDD">
                  <w:pPr>
                    <w:rPr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/>
                      <w:bCs/>
                      <w:kern w:val="0"/>
                      <w:sz w:val="24"/>
                      <w:szCs w:val="21"/>
                    </w:rPr>
                    <w:t>排名</w:t>
                  </w:r>
                </w:p>
              </w:tc>
              <w:tc>
                <w:tcPr>
                  <w:tcW w:w="1302" w:type="pct"/>
                </w:tcPr>
                <w:p w:rsidR="00C92FB8" w:rsidRPr="003D7507" w:rsidRDefault="00D54FDD">
                  <w:pPr>
                    <w:rPr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/>
                      <w:bCs/>
                      <w:kern w:val="0"/>
                      <w:sz w:val="24"/>
                      <w:szCs w:val="21"/>
                    </w:rPr>
                    <w:t>技术职称</w:t>
                  </w:r>
                </w:p>
              </w:tc>
              <w:tc>
                <w:tcPr>
                  <w:tcW w:w="1655" w:type="pct"/>
                </w:tcPr>
                <w:p w:rsidR="00C92FB8" w:rsidRPr="003D7507" w:rsidRDefault="00D54FDD">
                  <w:pPr>
                    <w:rPr>
                      <w:b/>
                      <w:bCs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/>
                      <w:bCs/>
                      <w:kern w:val="0"/>
                      <w:sz w:val="24"/>
                      <w:szCs w:val="21"/>
                    </w:rPr>
                    <w:t>工作单位</w:t>
                  </w:r>
                </w:p>
              </w:tc>
            </w:tr>
            <w:tr w:rsidR="00C92FB8" w:rsidRPr="003D7507">
              <w:tc>
                <w:tcPr>
                  <w:tcW w:w="1259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苏为华</w:t>
                  </w:r>
                </w:p>
              </w:tc>
              <w:tc>
                <w:tcPr>
                  <w:tcW w:w="78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1</w:t>
                  </w:r>
                </w:p>
              </w:tc>
              <w:tc>
                <w:tcPr>
                  <w:tcW w:w="130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教授</w:t>
                  </w:r>
                </w:p>
              </w:tc>
              <w:tc>
                <w:tcPr>
                  <w:tcW w:w="1655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浙江工商大学</w:t>
                  </w:r>
                </w:p>
              </w:tc>
            </w:tr>
            <w:tr w:rsidR="00C92FB8" w:rsidRPr="003D7507">
              <w:tc>
                <w:tcPr>
                  <w:tcW w:w="1259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徐泽水</w:t>
                  </w:r>
                </w:p>
              </w:tc>
              <w:tc>
                <w:tcPr>
                  <w:tcW w:w="78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2</w:t>
                  </w:r>
                </w:p>
              </w:tc>
              <w:tc>
                <w:tcPr>
                  <w:tcW w:w="130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教授</w:t>
                  </w:r>
                </w:p>
              </w:tc>
              <w:tc>
                <w:tcPr>
                  <w:tcW w:w="1655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四川大学</w:t>
                  </w:r>
                </w:p>
              </w:tc>
            </w:tr>
            <w:tr w:rsidR="00C92FB8" w:rsidRPr="003D7507">
              <w:tc>
                <w:tcPr>
                  <w:tcW w:w="1259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林铭炜</w:t>
                  </w:r>
                </w:p>
              </w:tc>
              <w:tc>
                <w:tcPr>
                  <w:tcW w:w="78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3</w:t>
                  </w:r>
                </w:p>
              </w:tc>
              <w:tc>
                <w:tcPr>
                  <w:tcW w:w="130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教授</w:t>
                  </w:r>
                </w:p>
              </w:tc>
              <w:tc>
                <w:tcPr>
                  <w:tcW w:w="1655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福建师范大学</w:t>
                  </w:r>
                </w:p>
              </w:tc>
            </w:tr>
            <w:tr w:rsidR="00C92FB8" w:rsidRPr="003D7507">
              <w:tc>
                <w:tcPr>
                  <w:tcW w:w="1259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薛文停</w:t>
                  </w:r>
                </w:p>
              </w:tc>
              <w:tc>
                <w:tcPr>
                  <w:tcW w:w="78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4</w:t>
                  </w:r>
                </w:p>
              </w:tc>
              <w:tc>
                <w:tcPr>
                  <w:tcW w:w="130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讲师</w:t>
                  </w:r>
                </w:p>
              </w:tc>
              <w:tc>
                <w:tcPr>
                  <w:tcW w:w="1655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浙江工商大学</w:t>
                  </w:r>
                </w:p>
              </w:tc>
            </w:tr>
            <w:tr w:rsidR="00C92FB8" w:rsidRPr="003D7507">
              <w:tc>
                <w:tcPr>
                  <w:tcW w:w="1259" w:type="pct"/>
                </w:tcPr>
                <w:p w:rsidR="00C92FB8" w:rsidRPr="003D7507" w:rsidRDefault="009A1E08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金欢</w:t>
                  </w:r>
                  <w:proofErr w:type="gramStart"/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欢</w:t>
                  </w:r>
                  <w:proofErr w:type="gramEnd"/>
                </w:p>
              </w:tc>
              <w:tc>
                <w:tcPr>
                  <w:tcW w:w="78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5</w:t>
                  </w:r>
                </w:p>
              </w:tc>
              <w:tc>
                <w:tcPr>
                  <w:tcW w:w="1302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讲师</w:t>
                  </w:r>
                </w:p>
              </w:tc>
              <w:tc>
                <w:tcPr>
                  <w:tcW w:w="1655" w:type="pct"/>
                </w:tcPr>
                <w:p w:rsidR="00C92FB8" w:rsidRPr="003D7507" w:rsidRDefault="00D54FDD">
                  <w:pPr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</w:pPr>
                  <w:r w:rsidRPr="003D7507">
                    <w:rPr>
                      <w:bCs/>
                      <w:color w:val="000000" w:themeColor="text1"/>
                      <w:kern w:val="0"/>
                      <w:sz w:val="24"/>
                      <w:szCs w:val="21"/>
                    </w:rPr>
                    <w:t>浙江工商大学</w:t>
                  </w:r>
                </w:p>
              </w:tc>
            </w:tr>
          </w:tbl>
          <w:p w:rsidR="00C92FB8" w:rsidRPr="003D7507" w:rsidRDefault="00C92FB8">
            <w:pPr>
              <w:spacing w:line="44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92FB8" w:rsidRPr="009A1E08" w:rsidTr="00891597">
        <w:trPr>
          <w:trHeight w:val="2285"/>
        </w:trPr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:rsidR="00C92FB8" w:rsidRPr="009A1E08" w:rsidRDefault="00D54FD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9A1E08">
              <w:rPr>
                <w:rFonts w:ascii="Times New Roman" w:eastAsia="仿宋" w:hAnsi="Times New Roman" w:cs="Times New Roman"/>
                <w:bCs/>
                <w:sz w:val="28"/>
                <w:szCs w:val="24"/>
              </w:rPr>
              <w:t>主要完成单位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vAlign w:val="center"/>
          </w:tcPr>
          <w:p w:rsidR="00C92FB8" w:rsidRPr="003D7507" w:rsidRDefault="00D54FDD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1.</w:t>
            </w:r>
            <w:r w:rsidR="009A1E08"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浙江工商大学</w:t>
            </w:r>
          </w:p>
          <w:p w:rsidR="00C92FB8" w:rsidRPr="003D7507" w:rsidRDefault="00D54FDD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2.</w:t>
            </w:r>
            <w:r w:rsidR="009A1E08"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四川大学</w:t>
            </w:r>
          </w:p>
          <w:p w:rsidR="00C92FB8" w:rsidRPr="003D7507" w:rsidRDefault="00D54FDD" w:rsidP="009A1E08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3.</w:t>
            </w:r>
            <w:r w:rsidR="009A1E08"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福建师范大学</w:t>
            </w:r>
          </w:p>
        </w:tc>
      </w:tr>
      <w:tr w:rsidR="00C92FB8" w:rsidRPr="009A1E08" w:rsidTr="00891597">
        <w:trPr>
          <w:trHeight w:val="2130"/>
        </w:trPr>
        <w:tc>
          <w:tcPr>
            <w:tcW w:w="1589" w:type="dxa"/>
            <w:vAlign w:val="center"/>
          </w:tcPr>
          <w:p w:rsidR="00C92FB8" w:rsidRPr="009A1E08" w:rsidRDefault="00D54FD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A1E08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提名单位</w:t>
            </w:r>
          </w:p>
        </w:tc>
        <w:tc>
          <w:tcPr>
            <w:tcW w:w="6917" w:type="dxa"/>
            <w:vAlign w:val="center"/>
          </w:tcPr>
          <w:p w:rsidR="00C92FB8" w:rsidRPr="003D7507" w:rsidRDefault="00D54FDD">
            <w:pPr>
              <w:contextualSpacing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  <w:t>浙江省教育厅</w:t>
            </w:r>
          </w:p>
        </w:tc>
      </w:tr>
      <w:tr w:rsidR="00C92FB8" w:rsidRPr="009A1E08" w:rsidTr="00891597">
        <w:trPr>
          <w:trHeight w:val="5661"/>
        </w:trPr>
        <w:tc>
          <w:tcPr>
            <w:tcW w:w="1589" w:type="dxa"/>
            <w:vAlign w:val="center"/>
          </w:tcPr>
          <w:p w:rsidR="00C92FB8" w:rsidRPr="009A1E08" w:rsidRDefault="00D54FDD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9A1E08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提名意见</w:t>
            </w:r>
          </w:p>
        </w:tc>
        <w:tc>
          <w:tcPr>
            <w:tcW w:w="6917" w:type="dxa"/>
            <w:vAlign w:val="center"/>
          </w:tcPr>
          <w:p w:rsidR="00C92FB8" w:rsidRPr="003D7507" w:rsidRDefault="009A1E08">
            <w:pPr>
              <w:contextualSpacing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项目围绕综合评价中的基础理论以及相关前沿技术，从信息表达（模糊信息、函数型信息）、机制设计（多阶段、动态）与信息集成（位置属性集成与重要性属性集成）等角度开展了系统研究，并获得了多个高层次项目的资助。相关技术内容在国内外期刊上发表学术论文</w:t>
            </w: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50</w:t>
            </w:r>
            <w:r w:rsidRPr="003D750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多篇，在国内外形成了一定的影响力。综上，同意提名该成果为浙江省自然科学奖二等奖。</w:t>
            </w:r>
          </w:p>
        </w:tc>
      </w:tr>
    </w:tbl>
    <w:p w:rsidR="00C92FB8" w:rsidRPr="009A1E08" w:rsidRDefault="00C92FB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92FB8" w:rsidRPr="009A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21" w:rsidRDefault="00163F21" w:rsidP="00C41901">
      <w:r>
        <w:separator/>
      </w:r>
    </w:p>
  </w:endnote>
  <w:endnote w:type="continuationSeparator" w:id="0">
    <w:p w:rsidR="00163F21" w:rsidRDefault="00163F21" w:rsidP="00C4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21" w:rsidRDefault="00163F21" w:rsidP="00C41901">
      <w:r>
        <w:separator/>
      </w:r>
    </w:p>
  </w:footnote>
  <w:footnote w:type="continuationSeparator" w:id="0">
    <w:p w:rsidR="00163F21" w:rsidRDefault="00163F21" w:rsidP="00C4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YyMTI2ZWJlNDEwYTUzZTRkZWM3NzAzOTU1OTVhZGQifQ=="/>
  </w:docVars>
  <w:rsids>
    <w:rsidRoot w:val="001F2088"/>
    <w:rsid w:val="00163F21"/>
    <w:rsid w:val="001F2088"/>
    <w:rsid w:val="00205558"/>
    <w:rsid w:val="003D7507"/>
    <w:rsid w:val="00402CC6"/>
    <w:rsid w:val="004D752B"/>
    <w:rsid w:val="00525FDA"/>
    <w:rsid w:val="005A37E8"/>
    <w:rsid w:val="00610B02"/>
    <w:rsid w:val="00666D39"/>
    <w:rsid w:val="00891597"/>
    <w:rsid w:val="00894728"/>
    <w:rsid w:val="008B2B60"/>
    <w:rsid w:val="008D7EFF"/>
    <w:rsid w:val="009A1E08"/>
    <w:rsid w:val="00BA2AF3"/>
    <w:rsid w:val="00C41901"/>
    <w:rsid w:val="00C73F95"/>
    <w:rsid w:val="00C92FB8"/>
    <w:rsid w:val="00D11E12"/>
    <w:rsid w:val="00D17B1A"/>
    <w:rsid w:val="00D54FDD"/>
    <w:rsid w:val="00E36308"/>
    <w:rsid w:val="00F3419E"/>
    <w:rsid w:val="02397DE8"/>
    <w:rsid w:val="0A8A06EA"/>
    <w:rsid w:val="5A226F1C"/>
    <w:rsid w:val="5AE840C3"/>
    <w:rsid w:val="742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B71BC-3C27-46BB-A104-5A7DF4F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229</Words>
  <Characters>1308</Characters>
  <Application>Microsoft Office Word</Application>
  <DocSecurity>0</DocSecurity>
  <Lines>10</Lines>
  <Paragraphs>3</Paragraphs>
  <ScaleCrop>false</ScaleCrop>
  <Company>DoubleOX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yhhu</cp:lastModifiedBy>
  <cp:revision>2</cp:revision>
  <dcterms:created xsi:type="dcterms:W3CDTF">2023-03-09T08:25:00Z</dcterms:created>
  <dcterms:modified xsi:type="dcterms:W3CDTF">2023-03-09T08:25:00Z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DE985BB02B554CE595FC21FAD3CCDD3D</vt:lpwstr>
  </property>
</Properties>
</file>