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90F" w:rsidRDefault="007C73C2">
      <w:pPr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bCs/>
          <w:sz w:val="36"/>
          <w:szCs w:val="36"/>
        </w:rPr>
        <w:t>浙江省科学技术奖公示信息表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（单位提名）</w:t>
      </w:r>
    </w:p>
    <w:p w:rsidR="0038090F" w:rsidRDefault="007C73C2">
      <w:pPr>
        <w:spacing w:line="440" w:lineRule="exact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7025"/>
      </w:tblGrid>
      <w:tr w:rsidR="0038090F">
        <w:trPr>
          <w:trHeight w:val="647"/>
        </w:trPr>
        <w:tc>
          <w:tcPr>
            <w:tcW w:w="1481" w:type="dxa"/>
            <w:vAlign w:val="center"/>
          </w:tcPr>
          <w:p w:rsidR="0038090F" w:rsidRDefault="007C73C2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成果名称</w:t>
            </w:r>
          </w:p>
        </w:tc>
        <w:tc>
          <w:tcPr>
            <w:tcW w:w="7025" w:type="dxa"/>
            <w:vAlign w:val="center"/>
          </w:tcPr>
          <w:p w:rsidR="0038090F" w:rsidRDefault="007C73C2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4"/>
              </w:rPr>
              <w:t>“三大战略”驱动下的经济决策关键技术及应用</w:t>
            </w:r>
          </w:p>
        </w:tc>
      </w:tr>
      <w:tr w:rsidR="0038090F">
        <w:trPr>
          <w:trHeight w:val="561"/>
        </w:trPr>
        <w:tc>
          <w:tcPr>
            <w:tcW w:w="1481" w:type="dxa"/>
            <w:vAlign w:val="center"/>
          </w:tcPr>
          <w:p w:rsidR="0038090F" w:rsidRDefault="007C73C2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>提名等级</w:t>
            </w:r>
          </w:p>
        </w:tc>
        <w:tc>
          <w:tcPr>
            <w:tcW w:w="7025" w:type="dxa"/>
            <w:vAlign w:val="center"/>
          </w:tcPr>
          <w:p w:rsidR="0038090F" w:rsidRDefault="007C73C2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4"/>
              </w:rPr>
              <w:t>二等奖</w:t>
            </w:r>
          </w:p>
        </w:tc>
      </w:tr>
      <w:tr w:rsidR="0038090F">
        <w:trPr>
          <w:trHeight w:val="3614"/>
        </w:trPr>
        <w:tc>
          <w:tcPr>
            <w:tcW w:w="1481" w:type="dxa"/>
            <w:vAlign w:val="center"/>
          </w:tcPr>
          <w:p w:rsidR="0038090F" w:rsidRDefault="007C73C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  <w:t>提名书</w:t>
            </w:r>
          </w:p>
          <w:p w:rsidR="0038090F" w:rsidRDefault="007C73C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  <w:t>相关内容</w:t>
            </w:r>
          </w:p>
        </w:tc>
        <w:tc>
          <w:tcPr>
            <w:tcW w:w="7025" w:type="dxa"/>
            <w:vAlign w:val="center"/>
          </w:tcPr>
          <w:p w:rsidR="0038090F" w:rsidRDefault="007C73C2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sz w:val="28"/>
                <w:szCs w:val="28"/>
              </w:rPr>
              <w:t>1、</w:t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主要代表性论文目录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3077"/>
              <w:gridCol w:w="1499"/>
              <w:gridCol w:w="806"/>
            </w:tblGrid>
            <w:tr w:rsidR="0038090F">
              <w:trPr>
                <w:trHeight w:hRule="exact" w:val="907"/>
                <w:jc w:val="center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38090F" w:rsidRDefault="007C73C2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18"/>
                      <w:szCs w:val="18"/>
                    </w:rPr>
                    <w:t>作</w:t>
                  </w:r>
                  <w:r>
                    <w:rPr>
                      <w:rFonts w:ascii="Times New Roman" w:eastAsia="仿宋_GB2312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仿宋_GB2312" w:hAnsi="Times New Roman" w:cs="Times New Roman"/>
                      <w:sz w:val="18"/>
                      <w:szCs w:val="18"/>
                    </w:rPr>
                    <w:t>者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38090F" w:rsidRDefault="007C73C2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18"/>
                      <w:szCs w:val="18"/>
                    </w:rPr>
                    <w:t>论文专著名称</w:t>
                  </w:r>
                  <w:r>
                    <w:rPr>
                      <w:rFonts w:ascii="Times New Roman" w:eastAsia="仿宋_GB2312" w:hAnsi="Times New Roman" w:cs="Times New Roman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eastAsia="仿宋_GB2312" w:hAnsi="Times New Roman" w:cs="Times New Roman"/>
                      <w:sz w:val="18"/>
                      <w:szCs w:val="18"/>
                    </w:rPr>
                    <w:t>刊物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090F" w:rsidRDefault="007C73C2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18"/>
                      <w:szCs w:val="18"/>
                    </w:rPr>
                    <w:t>年卷</w:t>
                  </w:r>
                </w:p>
                <w:p w:rsidR="0038090F" w:rsidRDefault="007C73C2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18"/>
                      <w:szCs w:val="18"/>
                    </w:rPr>
                    <w:t>页码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8090F" w:rsidRDefault="007C73C2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18"/>
                      <w:szCs w:val="18"/>
                    </w:rPr>
                    <w:t>发表</w:t>
                  </w:r>
                </w:p>
                <w:p w:rsidR="0038090F" w:rsidRDefault="007C73C2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18"/>
                      <w:szCs w:val="18"/>
                    </w:rPr>
                    <w:t>时间</w:t>
                  </w:r>
                </w:p>
                <w:p w:rsidR="0038090F" w:rsidRDefault="007C73C2">
                  <w:pPr>
                    <w:adjustRightInd w:val="0"/>
                    <w:snapToGrid w:val="0"/>
                    <w:jc w:val="center"/>
                    <w:rPr>
                      <w:rFonts w:ascii="Times New Roman" w:eastAsia="仿宋_GB2312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18"/>
                      <w:szCs w:val="18"/>
                    </w:rPr>
                    <w:t>（年、月）</w:t>
                  </w:r>
                </w:p>
              </w:tc>
            </w:tr>
            <w:tr w:rsidR="008B24B7">
              <w:trPr>
                <w:trHeight w:hRule="exact" w:val="907"/>
                <w:jc w:val="center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Chen, WY; Alain, G; Angel, R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Modeling the logistics response to a bioterrorist anthrax attack/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European Journal of Operational Research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2016,254:458-471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2016.7</w:t>
                  </w:r>
                </w:p>
              </w:tc>
            </w:tr>
            <w:tr w:rsidR="008B24B7">
              <w:trPr>
                <w:trHeight w:hRule="exact" w:val="927"/>
                <w:jc w:val="center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Wang, R;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Jouini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O;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Benjaafar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S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Service Systems with Finite and Heterogeneous Customer Arrivals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M&amp;SOM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—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Manufacturing &amp; Service Operations Management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2014,16: 365-380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2014.11</w:t>
                  </w:r>
                </w:p>
              </w:tc>
            </w:tr>
            <w:tr w:rsidR="008B24B7">
              <w:trPr>
                <w:trHeight w:hRule="exact" w:val="1266"/>
                <w:jc w:val="center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Zhang, CH;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WH; Zeng, SZ;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Balezentis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T; Herrera-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Viedma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E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 Two-stage subgroup Decision-making method for processing Large-scale information/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Expert Systems with Applications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2021,171:114586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2021.6</w:t>
                  </w:r>
                </w:p>
              </w:tc>
            </w:tr>
            <w:tr w:rsidR="008B24B7">
              <w:trPr>
                <w:trHeight w:hRule="exact" w:val="1354"/>
                <w:jc w:val="center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Liao, HC; Wu, XL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DNMA: A double normalization-based multiple aggregation method for multi-expert multi-criteria decision making/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Omega—International Journal of Management Science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，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94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：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102058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2020.5</w:t>
                  </w:r>
                </w:p>
              </w:tc>
            </w:tr>
            <w:tr w:rsidR="008B24B7">
              <w:trPr>
                <w:trHeight w:hRule="exact" w:val="2000"/>
                <w:jc w:val="center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Gou, XJ; Xu, ZS; Liao, HC; Herrera, F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Consensus Model Handling Minority Opinions and Noncooperative Behaviors in Large-Scale Group Decision-Making Under Double Hierarchy Linguistic Preference Relations/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IEEE Transactions on Cybernetics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2021,51:283-296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2021.1</w:t>
                  </w:r>
                </w:p>
              </w:tc>
            </w:tr>
            <w:tr w:rsidR="008B24B7">
              <w:trPr>
                <w:trHeight w:hRule="exact" w:val="1366"/>
                <w:jc w:val="center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Zhang, CH; Hu, QQ; Zeng, SZ;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WH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IOWLAD-based MCDM model for the site assessment of a household waste processing plant under a Pythagorean fuzzy environment/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Environmental Impact Assessment Review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2021,89:106579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2021.7</w:t>
                  </w:r>
                </w:p>
              </w:tc>
            </w:tr>
            <w:tr w:rsidR="008B24B7">
              <w:trPr>
                <w:trHeight w:hRule="exact" w:val="1863"/>
                <w:jc w:val="center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Liao, HC; Qin, R; Gao, CY; Wu, XL;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Hafezalkotob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A; Herrera, F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Score-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HeDLiSF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: A score function of hesitant fuzzy linguistic term set based on hesitant degrees and linguistic scale functions: An application to unbalanced hesitant fuzzy linguistic MULTIMOORA/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Information Fusion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2019,48:39-54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2019.3</w:t>
                  </w:r>
                </w:p>
              </w:tc>
            </w:tr>
            <w:tr w:rsidR="008B24B7">
              <w:trPr>
                <w:trHeight w:hRule="exact" w:val="1120"/>
                <w:jc w:val="center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Liao, HC; Jiang, LS; Xu, ZH; Xu, JP; Herrera, F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 linear programming method for multiple criteria decision making with probabilistic linguistic information/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Information Sciences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2017,415:341-355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2017.11</w:t>
                  </w:r>
                </w:p>
              </w:tc>
            </w:tr>
            <w:tr w:rsidR="008B24B7">
              <w:trPr>
                <w:trHeight w:hRule="exact" w:val="1120"/>
                <w:jc w:val="center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Su</w:t>
                  </w:r>
                  <w:proofErr w:type="spellEnd"/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 xml:space="preserve">, WH; Zhang, DC; Zhang, CH; </w:t>
                  </w:r>
                  <w:proofErr w:type="spellStart"/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Streimikiene</w:t>
                  </w:r>
                  <w:proofErr w:type="spellEnd"/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 xml:space="preserve">, D 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Sustainability assessment of energy sector development in China and European Union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Sustainable Development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2020,28(5):1063-1076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2020.9</w:t>
                  </w:r>
                </w:p>
              </w:tc>
            </w:tr>
            <w:tr w:rsidR="008B24B7">
              <w:trPr>
                <w:trHeight w:hRule="exact" w:val="973"/>
                <w:jc w:val="center"/>
              </w:trPr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 xml:space="preserve">Chen, WY; Gong, YM; de </w:t>
                  </w:r>
                  <w:proofErr w:type="spellStart"/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Koster</w:t>
                  </w:r>
                  <w:proofErr w:type="spellEnd"/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 xml:space="preserve">, RBM 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  <w:t>Performance estimation of a passing-crane automated storage and retrieval system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International Journal of Production Research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eastAsia="宋体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2020,60:1210-1230</w:t>
                  </w:r>
                </w:p>
              </w:tc>
              <w:tc>
                <w:tcPr>
                  <w:tcW w:w="0" w:type="auto"/>
                  <w:tcBorders>
                    <w:tl2br w:val="nil"/>
                    <w:tr2bl w:val="nil"/>
                  </w:tcBorders>
                  <w:vAlign w:val="center"/>
                </w:tcPr>
                <w:p w:rsidR="008B24B7" w:rsidRDefault="008B24B7" w:rsidP="008B24B7"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2020.12</w:t>
                  </w:r>
                </w:p>
              </w:tc>
            </w:tr>
          </w:tbl>
          <w:p w:rsidR="0038090F" w:rsidRDefault="0038090F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38090F">
        <w:trPr>
          <w:trHeight w:val="2948"/>
        </w:trPr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38090F" w:rsidRDefault="007C73C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7025" w:type="dxa"/>
            <w:tcBorders>
              <w:left w:val="single" w:sz="4" w:space="0" w:color="auto"/>
            </w:tcBorders>
            <w:vAlign w:val="center"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1712"/>
              <w:gridCol w:w="1065"/>
              <w:gridCol w:w="1772"/>
              <w:gridCol w:w="2250"/>
            </w:tblGrid>
            <w:tr w:rsidR="0038090F">
              <w:tc>
                <w:tcPr>
                  <w:tcW w:w="1259" w:type="pct"/>
                </w:tcPr>
                <w:p w:rsidR="0038090F" w:rsidRDefault="007C73C2">
                  <w:pPr>
                    <w:rPr>
                      <w:rFonts w:asciiTheme="minorEastAsia" w:hAnsiTheme="minorEastAsia" w:cs="仿宋"/>
                      <w:b/>
                      <w:bCs/>
                      <w:kern w:val="0"/>
                      <w:sz w:val="20"/>
                      <w:szCs w:val="21"/>
                    </w:rPr>
                  </w:pPr>
                  <w:r>
                    <w:rPr>
                      <w:rFonts w:asciiTheme="minorEastAsia" w:hAnsiTheme="minorEastAsia" w:cs="仿宋" w:hint="eastAsia"/>
                      <w:b/>
                      <w:bCs/>
                      <w:kern w:val="0"/>
                      <w:sz w:val="20"/>
                      <w:szCs w:val="21"/>
                    </w:rPr>
                    <w:t>姓名</w:t>
                  </w:r>
                </w:p>
              </w:tc>
              <w:tc>
                <w:tcPr>
                  <w:tcW w:w="783" w:type="pct"/>
                </w:tcPr>
                <w:p w:rsidR="0038090F" w:rsidRDefault="007C73C2">
                  <w:pPr>
                    <w:rPr>
                      <w:rFonts w:asciiTheme="minorEastAsia" w:hAnsiTheme="minorEastAsia" w:cs="仿宋"/>
                      <w:b/>
                      <w:bCs/>
                      <w:kern w:val="0"/>
                      <w:sz w:val="20"/>
                      <w:szCs w:val="21"/>
                    </w:rPr>
                  </w:pPr>
                  <w:r>
                    <w:rPr>
                      <w:rFonts w:asciiTheme="minorEastAsia" w:hAnsiTheme="minorEastAsia" w:cs="仿宋" w:hint="eastAsia"/>
                      <w:b/>
                      <w:bCs/>
                      <w:kern w:val="0"/>
                      <w:sz w:val="20"/>
                      <w:szCs w:val="21"/>
                    </w:rPr>
                    <w:t>排名</w:t>
                  </w:r>
                </w:p>
              </w:tc>
              <w:tc>
                <w:tcPr>
                  <w:tcW w:w="1303" w:type="pct"/>
                </w:tcPr>
                <w:p w:rsidR="0038090F" w:rsidRDefault="007C73C2">
                  <w:pPr>
                    <w:rPr>
                      <w:rFonts w:asciiTheme="minorEastAsia" w:hAnsiTheme="minorEastAsia" w:cs="仿宋"/>
                      <w:b/>
                      <w:bCs/>
                      <w:kern w:val="0"/>
                      <w:sz w:val="20"/>
                      <w:szCs w:val="21"/>
                    </w:rPr>
                  </w:pPr>
                  <w:r>
                    <w:rPr>
                      <w:rFonts w:asciiTheme="minorEastAsia" w:hAnsiTheme="minorEastAsia" w:cs="仿宋" w:hint="eastAsia"/>
                      <w:b/>
                      <w:bCs/>
                      <w:kern w:val="0"/>
                      <w:sz w:val="20"/>
                      <w:szCs w:val="21"/>
                    </w:rPr>
                    <w:t>技术职称</w:t>
                  </w:r>
                </w:p>
              </w:tc>
              <w:tc>
                <w:tcPr>
                  <w:tcW w:w="1655" w:type="pct"/>
                </w:tcPr>
                <w:p w:rsidR="0038090F" w:rsidRDefault="007C73C2">
                  <w:pPr>
                    <w:rPr>
                      <w:rFonts w:asciiTheme="minorEastAsia" w:hAnsiTheme="minorEastAsia" w:cs="仿宋"/>
                      <w:b/>
                      <w:bCs/>
                      <w:kern w:val="0"/>
                      <w:sz w:val="20"/>
                      <w:szCs w:val="21"/>
                    </w:rPr>
                  </w:pPr>
                  <w:r>
                    <w:rPr>
                      <w:rFonts w:asciiTheme="minorEastAsia" w:hAnsiTheme="minorEastAsia" w:cs="仿宋" w:hint="eastAsia"/>
                      <w:b/>
                      <w:bCs/>
                      <w:kern w:val="0"/>
                      <w:sz w:val="20"/>
                      <w:szCs w:val="21"/>
                    </w:rPr>
                    <w:t>工作单位</w:t>
                  </w:r>
                </w:p>
              </w:tc>
            </w:tr>
            <w:tr w:rsidR="0038090F">
              <w:tc>
                <w:tcPr>
                  <w:tcW w:w="1259" w:type="pct"/>
                </w:tcPr>
                <w:p w:rsidR="0038090F" w:rsidRPr="00F06C45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proofErr w:type="gramStart"/>
                  <w:r w:rsidRPr="00F06C45"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张崇辉</w:t>
                  </w:r>
                  <w:proofErr w:type="gramEnd"/>
                </w:p>
              </w:tc>
              <w:tc>
                <w:tcPr>
                  <w:tcW w:w="783" w:type="pct"/>
                </w:tcPr>
                <w:p w:rsidR="0038090F" w:rsidRPr="00F06C45" w:rsidRDefault="007C73C2">
                  <w:pPr>
                    <w:rPr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 w:rsidRPr="00F06C45">
                    <w:rPr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1</w:t>
                  </w:r>
                </w:p>
              </w:tc>
              <w:tc>
                <w:tcPr>
                  <w:tcW w:w="1303" w:type="pct"/>
                </w:tcPr>
                <w:p w:rsidR="0038090F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教授</w:t>
                  </w:r>
                </w:p>
              </w:tc>
              <w:tc>
                <w:tcPr>
                  <w:tcW w:w="1655" w:type="pct"/>
                </w:tcPr>
                <w:p w:rsidR="0038090F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浙江工商大学</w:t>
                  </w:r>
                </w:p>
              </w:tc>
            </w:tr>
            <w:tr w:rsidR="0038090F">
              <w:tc>
                <w:tcPr>
                  <w:tcW w:w="1259" w:type="pct"/>
                </w:tcPr>
                <w:p w:rsidR="0038090F" w:rsidRPr="00F06C45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 w:rsidRPr="00F06C45"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廖虎昌</w:t>
                  </w:r>
                </w:p>
              </w:tc>
              <w:tc>
                <w:tcPr>
                  <w:tcW w:w="783" w:type="pct"/>
                </w:tcPr>
                <w:p w:rsidR="0038090F" w:rsidRPr="00F06C45" w:rsidRDefault="007C73C2">
                  <w:pPr>
                    <w:rPr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 w:rsidRPr="00F06C45">
                    <w:rPr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2</w:t>
                  </w:r>
                </w:p>
              </w:tc>
              <w:tc>
                <w:tcPr>
                  <w:tcW w:w="1303" w:type="pct"/>
                </w:tcPr>
                <w:p w:rsidR="0038090F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研究员</w:t>
                  </w:r>
                </w:p>
              </w:tc>
              <w:tc>
                <w:tcPr>
                  <w:tcW w:w="1655" w:type="pct"/>
                </w:tcPr>
                <w:p w:rsidR="0038090F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四川大学</w:t>
                  </w:r>
                </w:p>
              </w:tc>
            </w:tr>
            <w:tr w:rsidR="0038090F">
              <w:tc>
                <w:tcPr>
                  <w:tcW w:w="1259" w:type="pct"/>
                </w:tcPr>
                <w:p w:rsidR="0038090F" w:rsidRPr="00F06C45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 w:rsidRPr="00F06C45"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陈婉莹</w:t>
                  </w:r>
                </w:p>
              </w:tc>
              <w:tc>
                <w:tcPr>
                  <w:tcW w:w="783" w:type="pct"/>
                </w:tcPr>
                <w:p w:rsidR="0038090F" w:rsidRPr="00F06C45" w:rsidRDefault="007C73C2">
                  <w:pPr>
                    <w:rPr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 w:rsidRPr="00F06C45">
                    <w:rPr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3</w:t>
                  </w:r>
                </w:p>
              </w:tc>
              <w:tc>
                <w:tcPr>
                  <w:tcW w:w="1303" w:type="pct"/>
                </w:tcPr>
                <w:p w:rsidR="0038090F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副教授</w:t>
                  </w:r>
                </w:p>
              </w:tc>
              <w:tc>
                <w:tcPr>
                  <w:tcW w:w="1655" w:type="pct"/>
                </w:tcPr>
                <w:p w:rsidR="0038090F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浙江工商大学</w:t>
                  </w:r>
                </w:p>
              </w:tc>
            </w:tr>
            <w:tr w:rsidR="0038090F">
              <w:tc>
                <w:tcPr>
                  <w:tcW w:w="1259" w:type="pct"/>
                </w:tcPr>
                <w:p w:rsidR="0038090F" w:rsidRPr="00F06C45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proofErr w:type="gramStart"/>
                  <w:r w:rsidRPr="00F06C45"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缑迅杰</w:t>
                  </w:r>
                  <w:proofErr w:type="gramEnd"/>
                </w:p>
              </w:tc>
              <w:tc>
                <w:tcPr>
                  <w:tcW w:w="783" w:type="pct"/>
                </w:tcPr>
                <w:p w:rsidR="0038090F" w:rsidRPr="00F06C45" w:rsidRDefault="007C73C2">
                  <w:pPr>
                    <w:rPr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 w:rsidRPr="00F06C45">
                    <w:rPr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4</w:t>
                  </w:r>
                </w:p>
              </w:tc>
              <w:tc>
                <w:tcPr>
                  <w:tcW w:w="1303" w:type="pct"/>
                </w:tcPr>
                <w:p w:rsidR="0038090F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特聘副研究员</w:t>
                  </w:r>
                </w:p>
              </w:tc>
              <w:tc>
                <w:tcPr>
                  <w:tcW w:w="1655" w:type="pct"/>
                </w:tcPr>
                <w:p w:rsidR="0038090F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四川大学</w:t>
                  </w:r>
                </w:p>
              </w:tc>
            </w:tr>
            <w:tr w:rsidR="0038090F">
              <w:tc>
                <w:tcPr>
                  <w:tcW w:w="1259" w:type="pct"/>
                </w:tcPr>
                <w:p w:rsidR="0038090F" w:rsidRPr="00F06C45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 w:rsidRPr="00F06C45"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张海霞</w:t>
                  </w:r>
                </w:p>
              </w:tc>
              <w:tc>
                <w:tcPr>
                  <w:tcW w:w="783" w:type="pct"/>
                </w:tcPr>
                <w:p w:rsidR="0038090F" w:rsidRPr="00F06C45" w:rsidRDefault="007C73C2">
                  <w:pPr>
                    <w:rPr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 w:rsidRPr="00F06C45">
                    <w:rPr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5</w:t>
                  </w:r>
                </w:p>
              </w:tc>
              <w:tc>
                <w:tcPr>
                  <w:tcW w:w="1303" w:type="pct"/>
                </w:tcPr>
                <w:p w:rsidR="0038090F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教授</w:t>
                  </w:r>
                </w:p>
              </w:tc>
              <w:tc>
                <w:tcPr>
                  <w:tcW w:w="1655" w:type="pct"/>
                </w:tcPr>
                <w:p w:rsidR="0038090F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浙江工商大学</w:t>
                  </w:r>
                </w:p>
              </w:tc>
            </w:tr>
            <w:tr w:rsidR="0038090F">
              <w:tc>
                <w:tcPr>
                  <w:tcW w:w="1259" w:type="pct"/>
                </w:tcPr>
                <w:p w:rsidR="0038090F" w:rsidRPr="00F06C45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 w:rsidRPr="00F06C45"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王宇</w:t>
                  </w:r>
                </w:p>
              </w:tc>
              <w:tc>
                <w:tcPr>
                  <w:tcW w:w="783" w:type="pct"/>
                </w:tcPr>
                <w:p w:rsidR="0038090F" w:rsidRPr="00F06C45" w:rsidRDefault="007C73C2">
                  <w:pPr>
                    <w:rPr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 w:rsidRPr="00F06C45">
                    <w:rPr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6</w:t>
                  </w:r>
                </w:p>
              </w:tc>
              <w:tc>
                <w:tcPr>
                  <w:tcW w:w="1303" w:type="pct"/>
                </w:tcPr>
                <w:p w:rsidR="0038090F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副教授</w:t>
                  </w:r>
                </w:p>
              </w:tc>
              <w:tc>
                <w:tcPr>
                  <w:tcW w:w="1655" w:type="pct"/>
                </w:tcPr>
                <w:p w:rsidR="0038090F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南方科技大学</w:t>
                  </w:r>
                </w:p>
              </w:tc>
            </w:tr>
            <w:tr w:rsidR="0038090F">
              <w:tc>
                <w:tcPr>
                  <w:tcW w:w="1259" w:type="pct"/>
                </w:tcPr>
                <w:p w:rsidR="0038090F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徐蔼婷</w:t>
                  </w:r>
                </w:p>
              </w:tc>
              <w:tc>
                <w:tcPr>
                  <w:tcW w:w="783" w:type="pct"/>
                </w:tcPr>
                <w:p w:rsidR="0038090F" w:rsidRPr="00F06C45" w:rsidRDefault="007C73C2">
                  <w:pPr>
                    <w:rPr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 w:rsidRPr="00F06C45">
                    <w:rPr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7</w:t>
                  </w:r>
                </w:p>
              </w:tc>
              <w:tc>
                <w:tcPr>
                  <w:tcW w:w="1303" w:type="pct"/>
                </w:tcPr>
                <w:p w:rsidR="0038090F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教授</w:t>
                  </w:r>
                </w:p>
              </w:tc>
              <w:tc>
                <w:tcPr>
                  <w:tcW w:w="1655" w:type="pct"/>
                </w:tcPr>
                <w:p w:rsidR="0038090F" w:rsidRDefault="007C73C2">
                  <w:pPr>
                    <w:rPr>
                      <w:rFonts w:asciiTheme="minorEastAsia" w:hAnsiTheme="minorEastAsia" w:cs="仿宋"/>
                      <w:bCs/>
                      <w:color w:val="000000" w:themeColor="text1"/>
                      <w:kern w:val="0"/>
                      <w:sz w:val="20"/>
                      <w:szCs w:val="21"/>
                    </w:rPr>
                  </w:pPr>
                  <w:r>
                    <w:rPr>
                      <w:rFonts w:asciiTheme="minorEastAsia" w:hAnsiTheme="minorEastAsia" w:cs="仿宋" w:hint="eastAsia"/>
                      <w:bCs/>
                      <w:color w:val="000000" w:themeColor="text1"/>
                      <w:kern w:val="0"/>
                      <w:sz w:val="20"/>
                      <w:szCs w:val="21"/>
                    </w:rPr>
                    <w:t>浙江工商大学</w:t>
                  </w:r>
                </w:p>
              </w:tc>
            </w:tr>
          </w:tbl>
          <w:p w:rsidR="0038090F" w:rsidRDefault="0038090F">
            <w:pPr>
              <w:spacing w:line="4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38090F">
        <w:trPr>
          <w:trHeight w:val="1986"/>
        </w:trPr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38090F" w:rsidRDefault="007C73C2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Cs/>
                <w:sz w:val="28"/>
                <w:szCs w:val="24"/>
              </w:rPr>
              <w:t>主要完成单位</w:t>
            </w:r>
          </w:p>
        </w:tc>
        <w:tc>
          <w:tcPr>
            <w:tcW w:w="7025" w:type="dxa"/>
            <w:tcBorders>
              <w:left w:val="single" w:sz="4" w:space="0" w:color="auto"/>
            </w:tcBorders>
            <w:vAlign w:val="center"/>
          </w:tcPr>
          <w:p w:rsidR="0038090F" w:rsidRDefault="007C73C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浙江工商大学</w:t>
            </w:r>
          </w:p>
          <w:p w:rsidR="0038090F" w:rsidRDefault="007C73C2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四川大学</w:t>
            </w:r>
          </w:p>
          <w:p w:rsidR="0038090F" w:rsidRDefault="007C73C2" w:rsidP="008B24B7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南方科技大学</w:t>
            </w:r>
          </w:p>
        </w:tc>
      </w:tr>
      <w:tr w:rsidR="0038090F">
        <w:trPr>
          <w:trHeight w:val="692"/>
        </w:trPr>
        <w:tc>
          <w:tcPr>
            <w:tcW w:w="1481" w:type="dxa"/>
            <w:vAlign w:val="center"/>
          </w:tcPr>
          <w:p w:rsidR="0038090F" w:rsidRDefault="007C73C2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提名单位</w:t>
            </w:r>
          </w:p>
        </w:tc>
        <w:tc>
          <w:tcPr>
            <w:tcW w:w="7025" w:type="dxa"/>
            <w:vAlign w:val="center"/>
          </w:tcPr>
          <w:p w:rsidR="0038090F" w:rsidRDefault="004A7EA2" w:rsidP="004A7EA2">
            <w:pPr>
              <w:contextualSpacing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浙江省教育厅</w:t>
            </w:r>
          </w:p>
        </w:tc>
      </w:tr>
      <w:tr w:rsidR="0038090F">
        <w:trPr>
          <w:trHeight w:val="3179"/>
        </w:trPr>
        <w:tc>
          <w:tcPr>
            <w:tcW w:w="1481" w:type="dxa"/>
            <w:vAlign w:val="center"/>
          </w:tcPr>
          <w:p w:rsidR="0038090F" w:rsidRDefault="007C73C2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提名意见</w:t>
            </w:r>
          </w:p>
        </w:tc>
        <w:tc>
          <w:tcPr>
            <w:tcW w:w="7025" w:type="dxa"/>
            <w:vAlign w:val="center"/>
          </w:tcPr>
          <w:p w:rsidR="0038090F" w:rsidRDefault="004A7EA2" w:rsidP="008B24B7">
            <w:pPr>
              <w:spacing w:line="360" w:lineRule="auto"/>
              <w:contextualSpacing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4A7EA2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该项目针对“三大战略”中的关键决策与评价技术，从多指标监测与综合评价、经济预测与分析、数字化管理决策与优化等角度开展了系统研究，兼具理论价值与应用价值。该项目获得了国家统计局、杭州市余杭区</w:t>
            </w:r>
            <w:proofErr w:type="gramStart"/>
            <w:r w:rsidRPr="004A7EA2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发改局</w:t>
            </w:r>
            <w:proofErr w:type="gramEnd"/>
            <w:r w:rsidRPr="004A7EA2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、杭州市临平区</w:t>
            </w:r>
            <w:proofErr w:type="gramStart"/>
            <w:r w:rsidRPr="004A7EA2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发改局</w:t>
            </w:r>
            <w:proofErr w:type="gramEnd"/>
            <w:r w:rsidRPr="004A7EA2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等委托与资助；相关技术内容在国内外期刊上发表学术论文</w:t>
            </w:r>
            <w:r w:rsidRPr="004A7E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60</w:t>
            </w:r>
            <w:r w:rsidRPr="004A7E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多篇，</w:t>
            </w:r>
            <w:r w:rsidRPr="004A7E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10</w:t>
            </w:r>
            <w:r w:rsidRPr="004A7E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多份研究报告获国家级或省部级领导肯定性批示；相关应用被浙江省统计局等多个部门采纳应用。该成果理论与技术创新突出。综上，同意提名该成果为浙江省科学技术进步奖二等奖。</w:t>
            </w:r>
          </w:p>
        </w:tc>
      </w:tr>
    </w:tbl>
    <w:p w:rsidR="0038090F" w:rsidRDefault="0038090F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8090F" w:rsidRDefault="0038090F"/>
    <w:sectPr w:rsidR="00380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04C" w:rsidRDefault="0031304C" w:rsidP="00F32297">
      <w:r>
        <w:separator/>
      </w:r>
    </w:p>
  </w:endnote>
  <w:endnote w:type="continuationSeparator" w:id="0">
    <w:p w:rsidR="0031304C" w:rsidRDefault="0031304C" w:rsidP="00F3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04C" w:rsidRDefault="0031304C" w:rsidP="00F32297">
      <w:r>
        <w:separator/>
      </w:r>
    </w:p>
  </w:footnote>
  <w:footnote w:type="continuationSeparator" w:id="0">
    <w:p w:rsidR="0031304C" w:rsidRDefault="0031304C" w:rsidP="00F32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YyMTI2ZWJlNDEwYTUzZTRkZWM3NzAzOTU1OTVhZGQifQ=="/>
  </w:docVars>
  <w:rsids>
    <w:rsidRoot w:val="001F2088"/>
    <w:rsid w:val="001F2088"/>
    <w:rsid w:val="00205558"/>
    <w:rsid w:val="0031304C"/>
    <w:rsid w:val="0038090F"/>
    <w:rsid w:val="00402CC6"/>
    <w:rsid w:val="004A7EA2"/>
    <w:rsid w:val="004D752B"/>
    <w:rsid w:val="005A2F28"/>
    <w:rsid w:val="0068623C"/>
    <w:rsid w:val="007C73C2"/>
    <w:rsid w:val="0082255A"/>
    <w:rsid w:val="008B24B7"/>
    <w:rsid w:val="00BE087B"/>
    <w:rsid w:val="00DE3506"/>
    <w:rsid w:val="00F06C45"/>
    <w:rsid w:val="00F32297"/>
    <w:rsid w:val="02397DE8"/>
    <w:rsid w:val="0A8A06EA"/>
    <w:rsid w:val="18A8690B"/>
    <w:rsid w:val="290F6532"/>
    <w:rsid w:val="4374370A"/>
    <w:rsid w:val="50AF6E33"/>
    <w:rsid w:val="63862972"/>
    <w:rsid w:val="7421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E8A3F-5466-4266-9C3C-B9B553B6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>DoubleOX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yhhu</cp:lastModifiedBy>
  <cp:revision>2</cp:revision>
  <dcterms:created xsi:type="dcterms:W3CDTF">2023-02-23T05:35:00Z</dcterms:created>
  <dcterms:modified xsi:type="dcterms:W3CDTF">2023-02-23T05:35:00Z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D0F18D8514CF437BBA9737546CFA3065</vt:lpwstr>
  </property>
</Properties>
</file>