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72" w:lineRule="exact"/>
        <w:jc w:val="left"/>
        <w:textAlignment w:val="auto"/>
        <w:rPr>
          <w:rFonts w:hint="eastAsia" w:ascii="黑体" w:hAnsi="黑体" w:eastAsia="黑体" w:cs="黑体"/>
          <w:color w:val="auto"/>
          <w:w w:val="95"/>
          <w:sz w:val="32"/>
          <w:szCs w:val="32"/>
          <w:highlight w:val="none"/>
          <w:lang w:val="en-US" w:eastAsia="zh-CN"/>
        </w:rPr>
      </w:pPr>
      <w:r>
        <w:rPr>
          <w:rFonts w:hint="eastAsia" w:ascii="黑体" w:hAnsi="黑体" w:eastAsia="黑体" w:cs="黑体"/>
          <w:color w:val="auto"/>
          <w:w w:val="95"/>
          <w:sz w:val="32"/>
          <w:szCs w:val="32"/>
          <w:highlight w:val="none"/>
          <w:lang w:eastAsia="zh-CN"/>
        </w:rPr>
        <w:t>附件</w:t>
      </w:r>
      <w:r>
        <w:rPr>
          <w:rFonts w:hint="eastAsia" w:ascii="黑体" w:hAnsi="黑体" w:eastAsia="黑体" w:cs="黑体"/>
          <w:color w:val="auto"/>
          <w:w w:val="95"/>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snapToGrid w:val="0"/>
        <w:spacing w:line="572" w:lineRule="exact"/>
        <w:jc w:val="center"/>
        <w:textAlignment w:val="auto"/>
        <w:rPr>
          <w:rFonts w:hint="eastAsia" w:ascii="方正小标宋简体" w:hAnsi="方正小标宋简体" w:eastAsia="方正小标宋简体" w:cs="方正小标宋简体"/>
          <w:color w:val="auto"/>
          <w:w w:val="95"/>
          <w:sz w:val="44"/>
          <w:szCs w:val="44"/>
          <w:highlight w:val="none"/>
        </w:rPr>
      </w:pPr>
    </w:p>
    <w:p>
      <w:pPr>
        <w:keepNext w:val="0"/>
        <w:keepLines w:val="0"/>
        <w:pageBreakBefore w:val="0"/>
        <w:widowControl w:val="0"/>
        <w:kinsoku/>
        <w:wordWrap/>
        <w:overflowPunct/>
        <w:topLinePunct w:val="0"/>
        <w:autoSpaceDE/>
        <w:autoSpaceDN/>
        <w:bidi w:val="0"/>
        <w:adjustRightInd/>
        <w:snapToGrid w:val="0"/>
        <w:spacing w:line="572" w:lineRule="exact"/>
        <w:jc w:val="center"/>
        <w:textAlignment w:val="auto"/>
        <w:rPr>
          <w:rFonts w:eastAsia="方正小标宋简体"/>
          <w:color w:val="auto"/>
          <w:w w:val="95"/>
          <w:sz w:val="44"/>
          <w:szCs w:val="44"/>
          <w:highlight w:val="none"/>
        </w:rPr>
      </w:pPr>
      <w:r>
        <w:rPr>
          <w:rFonts w:hint="eastAsia" w:ascii="方正小标宋简体" w:hAnsi="方正小标宋简体" w:eastAsia="方正小标宋简体" w:cs="方正小标宋简体"/>
          <w:color w:val="auto"/>
          <w:w w:val="95"/>
          <w:sz w:val="44"/>
          <w:szCs w:val="44"/>
          <w:highlight w:val="none"/>
          <w:lang w:val="en-US" w:eastAsia="zh-CN"/>
        </w:rPr>
        <w:t>2022年度</w:t>
      </w:r>
      <w:r>
        <w:rPr>
          <w:rFonts w:hint="eastAsia" w:ascii="方正小标宋简体" w:hAnsi="方正小标宋简体" w:eastAsia="方正小标宋简体" w:cs="方正小标宋简体"/>
          <w:color w:val="auto"/>
          <w:w w:val="95"/>
          <w:sz w:val="44"/>
          <w:szCs w:val="44"/>
          <w:highlight w:val="none"/>
        </w:rPr>
        <w:t>共用信息系统装备预研（</w:t>
      </w:r>
      <w:r>
        <w:rPr>
          <w:rFonts w:hint="eastAsia" w:ascii="方正小标宋简体" w:hAnsi="方正小标宋简体" w:eastAsia="方正小标宋简体" w:cs="方正小标宋简体"/>
          <w:color w:val="auto"/>
          <w:w w:val="95"/>
          <w:sz w:val="44"/>
          <w:szCs w:val="44"/>
          <w:highlight w:val="none"/>
          <w:lang w:val="en-US" w:eastAsia="zh-CN"/>
        </w:rPr>
        <w:t>基础</w:t>
      </w:r>
      <w:r>
        <w:rPr>
          <w:rFonts w:hint="eastAsia" w:ascii="方正小标宋简体" w:hAnsi="方正小标宋简体" w:eastAsia="方正小标宋简体" w:cs="方正小标宋简体"/>
          <w:color w:val="auto"/>
          <w:w w:val="95"/>
          <w:sz w:val="44"/>
          <w:szCs w:val="44"/>
          <w:highlight w:val="none"/>
        </w:rPr>
        <w:t>类项目）指南立项评审工作规范</w:t>
      </w:r>
    </w:p>
    <w:p>
      <w:pPr>
        <w:keepNext w:val="0"/>
        <w:keepLines w:val="0"/>
        <w:pageBreakBefore w:val="0"/>
        <w:widowControl w:val="0"/>
        <w:kinsoku/>
        <w:wordWrap/>
        <w:overflowPunct/>
        <w:topLinePunct w:val="0"/>
        <w:autoSpaceDE/>
        <w:autoSpaceDN/>
        <w:bidi w:val="0"/>
        <w:adjustRightInd/>
        <w:spacing w:line="572" w:lineRule="exact"/>
        <w:ind w:firstLine="540"/>
        <w:jc w:val="center"/>
        <w:textAlignment w:val="auto"/>
        <w:rPr>
          <w:rFonts w:eastAsia="楷体_GB2312"/>
          <w:color w:val="auto"/>
          <w:sz w:val="32"/>
          <w:szCs w:val="32"/>
          <w:highlight w:val="none"/>
        </w:rPr>
      </w:pPr>
    </w:p>
    <w:p>
      <w:pPr>
        <w:keepNext w:val="0"/>
        <w:keepLines w:val="0"/>
        <w:pageBreakBefore w:val="0"/>
        <w:widowControl w:val="0"/>
        <w:kinsoku/>
        <w:wordWrap/>
        <w:overflowPunct/>
        <w:topLinePunct w:val="0"/>
        <w:autoSpaceDE/>
        <w:autoSpaceDN/>
        <w:bidi w:val="0"/>
        <w:adjustRightInd/>
        <w:spacing w:line="572" w:lineRule="exact"/>
        <w:jc w:val="center"/>
        <w:textAlignment w:val="auto"/>
        <w:rPr>
          <w:rFonts w:eastAsia="黑体"/>
          <w:color w:val="auto"/>
          <w:sz w:val="32"/>
          <w:szCs w:val="32"/>
          <w:highlight w:val="none"/>
        </w:rPr>
      </w:pPr>
      <w:r>
        <w:rPr>
          <w:rFonts w:eastAsia="黑体"/>
          <w:color w:val="auto"/>
          <w:sz w:val="32"/>
          <w:szCs w:val="32"/>
          <w:highlight w:val="none"/>
        </w:rPr>
        <w:t>第一章  总则</w:t>
      </w:r>
    </w:p>
    <w:p>
      <w:pPr>
        <w:keepNext w:val="0"/>
        <w:keepLines w:val="0"/>
        <w:pageBreakBefore w:val="0"/>
        <w:widowControl w:val="0"/>
        <w:kinsoku/>
        <w:wordWrap/>
        <w:overflowPunct/>
        <w:topLinePunct w:val="0"/>
        <w:autoSpaceDE/>
        <w:autoSpaceDN/>
        <w:bidi w:val="0"/>
        <w:adjustRightInd/>
        <w:spacing w:line="572" w:lineRule="exact"/>
        <w:ind w:firstLine="63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第一条</w:t>
      </w:r>
      <w:r>
        <w:rPr>
          <w:rFonts w:hint="eastAsia" w:ascii="仿宋_GB2312" w:hAnsi="仿宋_GB2312" w:eastAsia="仿宋_GB2312" w:cs="仿宋_GB2312"/>
          <w:color w:val="auto"/>
          <w:sz w:val="32"/>
          <w:szCs w:val="32"/>
          <w:highlight w:val="none"/>
        </w:rPr>
        <w:t xml:space="preserve">  为规范</w:t>
      </w:r>
      <w:r>
        <w:rPr>
          <w:rFonts w:hint="eastAsia" w:ascii="仿宋_GB2312" w:hAnsi="仿宋_GB2312" w:eastAsia="仿宋_GB2312" w:cs="仿宋_GB2312"/>
          <w:color w:val="auto"/>
          <w:sz w:val="32"/>
          <w:szCs w:val="32"/>
          <w:highlight w:val="none"/>
          <w:lang w:val="en-US" w:eastAsia="zh-CN"/>
        </w:rPr>
        <w:t>2022年度</w:t>
      </w:r>
      <w:r>
        <w:rPr>
          <w:rFonts w:hint="eastAsia" w:ascii="仿宋_GB2312" w:hAnsi="仿宋_GB2312" w:eastAsia="仿宋_GB2312" w:cs="仿宋_GB2312"/>
          <w:color w:val="auto"/>
          <w:sz w:val="32"/>
          <w:szCs w:val="32"/>
          <w:highlight w:val="none"/>
        </w:rPr>
        <w:t>共用信息系统装备预研（</w:t>
      </w:r>
      <w:r>
        <w:rPr>
          <w:rFonts w:hint="eastAsia" w:ascii="仿宋_GB2312" w:hAnsi="仿宋_GB2312" w:eastAsia="仿宋_GB2312" w:cs="仿宋_GB2312"/>
          <w:color w:val="auto"/>
          <w:sz w:val="32"/>
          <w:szCs w:val="32"/>
          <w:highlight w:val="none"/>
          <w:lang w:val="en-US" w:eastAsia="zh-CN"/>
        </w:rPr>
        <w:t>基础</w:t>
      </w:r>
      <w:r>
        <w:rPr>
          <w:rFonts w:hint="eastAsia" w:ascii="仿宋_GB2312" w:hAnsi="仿宋_GB2312" w:eastAsia="仿宋_GB2312" w:cs="仿宋_GB2312"/>
          <w:color w:val="auto"/>
          <w:sz w:val="32"/>
          <w:szCs w:val="32"/>
          <w:highlight w:val="none"/>
        </w:rPr>
        <w:t>类项目）指南立项评审工作，营造有利于激发创新活力的公平公正竞争环境，制定本工作规范。</w:t>
      </w:r>
    </w:p>
    <w:p>
      <w:pPr>
        <w:keepNext w:val="0"/>
        <w:keepLines w:val="0"/>
        <w:pageBreakBefore w:val="0"/>
        <w:widowControl w:val="0"/>
        <w:kinsoku/>
        <w:wordWrap/>
        <w:overflowPunct/>
        <w:topLinePunct w:val="0"/>
        <w:autoSpaceDE/>
        <w:autoSpaceDN/>
        <w:bidi w:val="0"/>
        <w:adjustRightInd/>
        <w:spacing w:line="572" w:lineRule="exact"/>
        <w:ind w:firstLine="63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第二条</w:t>
      </w:r>
      <w:r>
        <w:rPr>
          <w:rFonts w:hint="eastAsia" w:ascii="仿宋_GB2312" w:hAnsi="仿宋_GB2312" w:eastAsia="仿宋_GB2312" w:cs="仿宋_GB2312"/>
          <w:color w:val="auto"/>
          <w:sz w:val="32"/>
          <w:szCs w:val="32"/>
          <w:highlight w:val="none"/>
        </w:rPr>
        <w:t xml:space="preserve">  本工作规范是</w:t>
      </w:r>
      <w:r>
        <w:rPr>
          <w:rFonts w:hint="eastAsia" w:ascii="仿宋_GB2312" w:hAnsi="仿宋_GB2312" w:eastAsia="仿宋_GB2312" w:cs="仿宋_GB2312"/>
          <w:color w:val="auto"/>
          <w:sz w:val="32"/>
          <w:szCs w:val="32"/>
          <w:highlight w:val="none"/>
          <w:lang w:val="en-US" w:eastAsia="zh-CN"/>
        </w:rPr>
        <w:t>2022年度</w:t>
      </w:r>
      <w:r>
        <w:rPr>
          <w:rFonts w:hint="eastAsia" w:ascii="仿宋_GB2312" w:hAnsi="仿宋_GB2312" w:eastAsia="仿宋_GB2312" w:cs="仿宋_GB2312"/>
          <w:color w:val="auto"/>
          <w:sz w:val="32"/>
          <w:szCs w:val="32"/>
          <w:highlight w:val="none"/>
        </w:rPr>
        <w:t>共用信息系统装备预研（</w:t>
      </w:r>
      <w:r>
        <w:rPr>
          <w:rFonts w:hint="eastAsia" w:ascii="仿宋_GB2312" w:hAnsi="仿宋_GB2312" w:eastAsia="仿宋_GB2312" w:cs="仿宋_GB2312"/>
          <w:color w:val="auto"/>
          <w:sz w:val="32"/>
          <w:szCs w:val="32"/>
          <w:highlight w:val="none"/>
          <w:lang w:val="en-US" w:eastAsia="zh-CN"/>
        </w:rPr>
        <w:t>基础</w:t>
      </w:r>
      <w:r>
        <w:rPr>
          <w:rFonts w:hint="eastAsia" w:ascii="仿宋_GB2312" w:hAnsi="仿宋_GB2312" w:eastAsia="仿宋_GB2312" w:cs="仿宋_GB2312"/>
          <w:color w:val="auto"/>
          <w:sz w:val="32"/>
          <w:szCs w:val="32"/>
          <w:highlight w:val="none"/>
        </w:rPr>
        <w:t>类项目）指南立项评审工作的基本依据。</w:t>
      </w:r>
    </w:p>
    <w:p>
      <w:pPr>
        <w:keepNext w:val="0"/>
        <w:keepLines w:val="0"/>
        <w:pageBreakBefore w:val="0"/>
        <w:widowControl w:val="0"/>
        <w:kinsoku/>
        <w:wordWrap/>
        <w:overflowPunct/>
        <w:topLinePunct w:val="0"/>
        <w:autoSpaceDE/>
        <w:autoSpaceDN/>
        <w:bidi w:val="0"/>
        <w:adjustRightInd/>
        <w:spacing w:line="572" w:lineRule="exact"/>
        <w:ind w:firstLine="632" w:firstLineChars="200"/>
        <w:textAlignment w:val="auto"/>
        <w:outlineLvl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第三条</w:t>
      </w:r>
      <w:r>
        <w:rPr>
          <w:rFonts w:hint="eastAsia" w:ascii="仿宋_GB2312" w:hAnsi="仿宋_GB2312" w:eastAsia="仿宋_GB2312" w:cs="仿宋_GB2312"/>
          <w:color w:val="auto"/>
          <w:sz w:val="32"/>
          <w:szCs w:val="32"/>
          <w:highlight w:val="none"/>
        </w:rPr>
        <w:t xml:space="preserve">  立项评审分为初审和会议评审，可按领域并行开展评审工作。</w:t>
      </w:r>
    </w:p>
    <w:p>
      <w:pPr>
        <w:pStyle w:val="14"/>
        <w:keepNext w:val="0"/>
        <w:keepLines w:val="0"/>
        <w:pageBreakBefore w:val="0"/>
        <w:widowControl w:val="0"/>
        <w:kinsoku/>
        <w:wordWrap/>
        <w:overflowPunct/>
        <w:topLinePunct w:val="0"/>
        <w:autoSpaceDE/>
        <w:autoSpaceDN/>
        <w:bidi w:val="0"/>
        <w:adjustRightInd/>
        <w:snapToGrid w:val="0"/>
        <w:spacing w:line="572" w:lineRule="exact"/>
        <w:ind w:firstLine="629"/>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第四条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每条指南条目，</w:t>
      </w:r>
      <w:r>
        <w:rPr>
          <w:rFonts w:hint="eastAsia" w:ascii="仿宋_GB2312" w:hAnsi="仿宋_GB2312" w:eastAsia="仿宋_GB2312" w:cs="仿宋_GB2312"/>
          <w:color w:val="auto"/>
          <w:sz w:val="32"/>
          <w:szCs w:val="32"/>
          <w:highlight w:val="none"/>
        </w:rPr>
        <w:t>超过5个单位（联合申报的视为一个单位）申报的，需进行初审和会议评审，不超过5个（含）的直接采用会议评审方式。</w:t>
      </w:r>
    </w:p>
    <w:p>
      <w:pPr>
        <w:keepNext w:val="0"/>
        <w:keepLines w:val="0"/>
        <w:pageBreakBefore w:val="0"/>
        <w:widowControl w:val="0"/>
        <w:kinsoku/>
        <w:wordWrap/>
        <w:overflowPunct/>
        <w:topLinePunct w:val="0"/>
        <w:autoSpaceDE/>
        <w:autoSpaceDN/>
        <w:bidi w:val="0"/>
        <w:adjustRightInd/>
        <w:spacing w:line="572" w:lineRule="exact"/>
        <w:ind w:firstLine="632" w:firstLineChars="200"/>
        <w:textAlignment w:val="auto"/>
        <w:outlineLvl w:val="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color w:val="auto"/>
          <w:sz w:val="32"/>
          <w:szCs w:val="32"/>
          <w:highlight w:val="none"/>
        </w:rPr>
        <w:t>第</w:t>
      </w:r>
      <w:r>
        <w:rPr>
          <w:rFonts w:hint="eastAsia" w:ascii="仿宋_GB2312" w:hAnsi="仿宋_GB2312" w:eastAsia="仿宋_GB2312" w:cs="仿宋_GB2312"/>
          <w:b/>
          <w:color w:val="auto"/>
          <w:sz w:val="32"/>
          <w:szCs w:val="32"/>
          <w:highlight w:val="none"/>
          <w:lang w:eastAsia="zh-CN"/>
        </w:rPr>
        <w:t>五</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承担某工程电子基础产品研制类项目的单位，当存在项目拖期情况时（</w:t>
      </w:r>
      <w:r>
        <w:rPr>
          <w:rFonts w:hint="eastAsia" w:ascii="楷体_GB2312" w:eastAsia="楷体_GB2312"/>
          <w:color w:val="auto"/>
          <w:sz w:val="28"/>
          <w:szCs w:val="28"/>
          <w:highlight w:val="none"/>
          <w:lang w:val="en-US" w:eastAsia="zh-CN"/>
        </w:rPr>
        <w:t>以评审组织方发布的最新通报为准）</w:t>
      </w:r>
      <w:r>
        <w:rPr>
          <w:rFonts w:hint="eastAsia" w:ascii="仿宋_GB2312" w:hAnsi="仿宋_GB2312" w:eastAsia="仿宋_GB2312" w:cs="仿宋_GB2312"/>
          <w:color w:val="auto"/>
          <w:sz w:val="32"/>
          <w:szCs w:val="32"/>
          <w:highlight w:val="none"/>
          <w:lang w:val="en-US" w:eastAsia="zh-CN"/>
        </w:rPr>
        <w:t>，将纳入立项评审“灰名单”（</w:t>
      </w:r>
      <w:r>
        <w:rPr>
          <w:rFonts w:hint="eastAsia" w:ascii="楷体_GB2312" w:eastAsia="楷体_GB2312"/>
          <w:color w:val="auto"/>
          <w:sz w:val="28"/>
          <w:szCs w:val="28"/>
          <w:highlight w:val="none"/>
          <w:lang w:val="en-US" w:eastAsia="zh-CN"/>
        </w:rPr>
        <w:t>联合团队中有单位在其中，即视为“灰名单”单位）</w:t>
      </w:r>
      <w:r>
        <w:rPr>
          <w:rFonts w:hint="eastAsia" w:ascii="仿宋_GB2312" w:hAnsi="仿宋_GB2312" w:eastAsia="仿宋_GB2312" w:cs="仿宋_GB2312"/>
          <w:color w:val="auto"/>
          <w:sz w:val="32"/>
          <w:szCs w:val="32"/>
          <w:highlight w:val="none"/>
          <w:lang w:val="en-US" w:eastAsia="zh-CN"/>
        </w:rPr>
        <w:t>，在会议评审同等条件下优先支持名单外单位。</w:t>
      </w:r>
    </w:p>
    <w:p>
      <w:pPr>
        <w:pStyle w:val="14"/>
        <w:keepNext w:val="0"/>
        <w:keepLines w:val="0"/>
        <w:pageBreakBefore w:val="0"/>
        <w:widowControl w:val="0"/>
        <w:kinsoku/>
        <w:wordWrap/>
        <w:overflowPunct/>
        <w:topLinePunct w:val="0"/>
        <w:autoSpaceDE/>
        <w:autoSpaceDN/>
        <w:bidi w:val="0"/>
        <w:adjustRightInd/>
        <w:snapToGrid w:val="0"/>
        <w:spacing w:line="572" w:lineRule="exact"/>
        <w:ind w:firstLine="629"/>
        <w:textAlignment w:val="auto"/>
        <w:rPr>
          <w:rFonts w:eastAsia="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pacing w:line="572" w:lineRule="exact"/>
        <w:jc w:val="center"/>
        <w:textAlignment w:val="auto"/>
        <w:rPr>
          <w:rFonts w:eastAsia="黑体"/>
          <w:color w:val="auto"/>
          <w:sz w:val="32"/>
          <w:szCs w:val="32"/>
          <w:highlight w:val="none"/>
        </w:rPr>
      </w:pPr>
      <w:r>
        <w:rPr>
          <w:rFonts w:eastAsia="黑体"/>
          <w:color w:val="auto"/>
          <w:sz w:val="32"/>
          <w:szCs w:val="32"/>
          <w:highlight w:val="none"/>
        </w:rPr>
        <w:t>第</w:t>
      </w:r>
      <w:r>
        <w:rPr>
          <w:rFonts w:hint="eastAsia" w:eastAsia="黑体"/>
          <w:color w:val="auto"/>
          <w:sz w:val="32"/>
          <w:szCs w:val="32"/>
          <w:highlight w:val="none"/>
          <w:lang w:val="en-US" w:eastAsia="zh-CN"/>
        </w:rPr>
        <w:t>二</w:t>
      </w:r>
      <w:r>
        <w:rPr>
          <w:rFonts w:eastAsia="黑体"/>
          <w:color w:val="auto"/>
          <w:sz w:val="32"/>
          <w:szCs w:val="32"/>
          <w:highlight w:val="none"/>
        </w:rPr>
        <w:t>章  申报材料受理与形式审查</w:t>
      </w:r>
    </w:p>
    <w:p>
      <w:pPr>
        <w:keepNext w:val="0"/>
        <w:keepLines w:val="0"/>
        <w:pageBreakBefore w:val="0"/>
        <w:widowControl w:val="0"/>
        <w:kinsoku/>
        <w:wordWrap/>
        <w:overflowPunct/>
        <w:topLinePunct w:val="0"/>
        <w:autoSpaceDE/>
        <w:autoSpaceDN/>
        <w:bidi w:val="0"/>
        <w:adjustRightInd/>
        <w:spacing w:line="572" w:lineRule="exact"/>
        <w:ind w:firstLine="632" w:firstLineChars="200"/>
        <w:textAlignment w:val="auto"/>
        <w:rPr>
          <w:rFonts w:hint="eastAsia" w:ascii="仿宋_GB2312" w:eastAsia="仿宋_GB2312"/>
          <w:color w:val="auto"/>
          <w:sz w:val="32"/>
          <w:szCs w:val="32"/>
          <w:highlight w:val="none"/>
        </w:rPr>
      </w:pPr>
      <w:r>
        <w:rPr>
          <w:rFonts w:hint="eastAsia" w:ascii="仿宋_GB2312" w:hAnsi="仿宋_GB2312" w:eastAsia="仿宋_GB2312" w:cs="仿宋_GB2312"/>
          <w:b/>
          <w:color w:val="auto"/>
          <w:sz w:val="32"/>
          <w:szCs w:val="32"/>
          <w:highlight w:val="none"/>
        </w:rPr>
        <w:t>第</w:t>
      </w:r>
      <w:r>
        <w:rPr>
          <w:rFonts w:hint="eastAsia" w:ascii="仿宋_GB2312" w:hAnsi="仿宋_GB2312" w:eastAsia="仿宋_GB2312" w:cs="仿宋_GB2312"/>
          <w:b/>
          <w:color w:val="auto"/>
          <w:sz w:val="32"/>
          <w:szCs w:val="32"/>
          <w:highlight w:val="none"/>
          <w:lang w:val="en-US" w:eastAsia="zh-CN"/>
        </w:rPr>
        <w:t>六</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w:t>
      </w:r>
      <w:r>
        <w:rPr>
          <w:rFonts w:hint="eastAsia" w:ascii="仿宋_GB2312" w:eastAsia="仿宋_GB2312"/>
          <w:color w:val="auto"/>
          <w:sz w:val="32"/>
          <w:szCs w:val="32"/>
          <w:highlight w:val="none"/>
        </w:rPr>
        <w:t>申报单位应具备以下条件：</w:t>
      </w:r>
    </w:p>
    <w:p>
      <w:pPr>
        <w:keepNext w:val="0"/>
        <w:keepLines w:val="0"/>
        <w:pageBreakBefore w:val="0"/>
        <w:widowControl w:val="0"/>
        <w:kinsoku/>
        <w:wordWrap/>
        <w:overflowPunct/>
        <w:topLinePunct w:val="0"/>
        <w:autoSpaceDE/>
        <w:autoSpaceDN/>
        <w:bidi w:val="0"/>
        <w:adjustRightInd/>
        <w:spacing w:line="572" w:lineRule="exact"/>
        <w:ind w:firstLine="632"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（一）在中华人民共和国境内注册且法定代表人具有中华人民共和国国籍；</w:t>
      </w:r>
    </w:p>
    <w:p>
      <w:pPr>
        <w:keepNext w:val="0"/>
        <w:keepLines w:val="0"/>
        <w:pageBreakBefore w:val="0"/>
        <w:widowControl w:val="0"/>
        <w:kinsoku/>
        <w:wordWrap/>
        <w:overflowPunct/>
        <w:topLinePunct w:val="0"/>
        <w:autoSpaceDE/>
        <w:autoSpaceDN/>
        <w:bidi w:val="0"/>
        <w:adjustRightInd/>
        <w:spacing w:line="572" w:lineRule="exact"/>
        <w:ind w:firstLine="632"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（二）非外资控股企业；</w:t>
      </w:r>
    </w:p>
    <w:p>
      <w:pPr>
        <w:keepNext w:val="0"/>
        <w:keepLines w:val="0"/>
        <w:pageBreakBefore w:val="0"/>
        <w:widowControl w:val="0"/>
        <w:kinsoku/>
        <w:wordWrap/>
        <w:overflowPunct/>
        <w:topLinePunct w:val="0"/>
        <w:autoSpaceDE/>
        <w:autoSpaceDN/>
        <w:bidi w:val="0"/>
        <w:adjustRightInd/>
        <w:spacing w:line="572" w:lineRule="exact"/>
        <w:ind w:firstLine="632"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（三）具有产品研发生产能力，不得仅为从事代理、销售等性质的单位；</w:t>
      </w:r>
    </w:p>
    <w:p>
      <w:pPr>
        <w:keepNext w:val="0"/>
        <w:keepLines w:val="0"/>
        <w:pageBreakBefore w:val="0"/>
        <w:widowControl w:val="0"/>
        <w:kinsoku/>
        <w:wordWrap/>
        <w:overflowPunct/>
        <w:topLinePunct w:val="0"/>
        <w:autoSpaceDE/>
        <w:autoSpaceDN/>
        <w:bidi w:val="0"/>
        <w:adjustRightInd/>
        <w:spacing w:line="572" w:lineRule="exact"/>
        <w:ind w:left="1" w:firstLine="632"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四</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未</w:t>
      </w:r>
      <w:r>
        <w:rPr>
          <w:rFonts w:hint="eastAsia" w:ascii="仿宋_GB2312" w:eastAsia="仿宋_GB2312"/>
          <w:color w:val="auto"/>
          <w:sz w:val="32"/>
          <w:szCs w:val="32"/>
          <w:highlight w:val="none"/>
        </w:rPr>
        <w:t>被列入装备承制单位严重、重大失信名单，</w:t>
      </w:r>
      <w:r>
        <w:rPr>
          <w:rFonts w:hint="eastAsia" w:ascii="仿宋_GB2312" w:eastAsia="仿宋_GB2312"/>
          <w:color w:val="auto"/>
          <w:sz w:val="32"/>
          <w:szCs w:val="32"/>
          <w:highlight w:val="none"/>
          <w:lang w:val="en-US" w:eastAsia="zh-CN"/>
        </w:rPr>
        <w:t>未</w:t>
      </w:r>
      <w:r>
        <w:rPr>
          <w:rFonts w:hint="eastAsia" w:ascii="仿宋_GB2312" w:eastAsia="仿宋_GB2312"/>
          <w:color w:val="auto"/>
          <w:sz w:val="32"/>
          <w:szCs w:val="32"/>
          <w:highlight w:val="none"/>
        </w:rPr>
        <w:t>被暂停本领域</w:t>
      </w:r>
      <w:r>
        <w:rPr>
          <w:rFonts w:hint="eastAsia" w:ascii="楷体_GB2312" w:eastAsia="楷体_GB2312"/>
          <w:color w:val="auto"/>
          <w:sz w:val="28"/>
          <w:szCs w:val="28"/>
          <w:highlight w:val="none"/>
        </w:rPr>
        <w:t>（电子元器件、测试仪器）</w:t>
      </w:r>
      <w:r>
        <w:rPr>
          <w:rFonts w:hint="eastAsia" w:ascii="仿宋_GB2312" w:eastAsia="仿宋_GB2312"/>
          <w:color w:val="auto"/>
          <w:sz w:val="32"/>
          <w:szCs w:val="32"/>
          <w:highlight w:val="none"/>
        </w:rPr>
        <w:t>课题申报资格的单位，</w:t>
      </w:r>
      <w:r>
        <w:rPr>
          <w:rFonts w:hint="eastAsia" w:ascii="仿宋_GB2312" w:eastAsia="仿宋_GB2312"/>
          <w:color w:val="auto"/>
          <w:sz w:val="32"/>
          <w:szCs w:val="32"/>
          <w:highlight w:val="none"/>
          <w:lang w:eastAsia="zh-CN"/>
        </w:rPr>
        <w:t>方可</w:t>
      </w:r>
      <w:r>
        <w:rPr>
          <w:rFonts w:hint="eastAsia" w:ascii="仿宋_GB2312" w:eastAsia="仿宋_GB2312"/>
          <w:color w:val="auto"/>
          <w:sz w:val="32"/>
          <w:szCs w:val="32"/>
          <w:highlight w:val="none"/>
        </w:rPr>
        <w:t>申报</w:t>
      </w:r>
      <w:r>
        <w:rPr>
          <w:rFonts w:hint="eastAsia" w:ascii="仿宋_GB2312"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72" w:lineRule="exact"/>
        <w:ind w:firstLine="620" w:firstLineChars="196"/>
        <w:textAlignment w:val="auto"/>
        <w:rPr>
          <w:rFonts w:hint="eastAsia" w:ascii="仿宋_GB2312" w:hAnsi="仿宋_GB2312" w:eastAsia="仿宋_GB2312" w:cs="仿宋_GB2312"/>
          <w:b/>
          <w:color w:val="auto"/>
          <w:sz w:val="32"/>
          <w:szCs w:val="32"/>
          <w:highlight w:val="none"/>
          <w:lang w:eastAsia="zh-CN"/>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五</w:t>
      </w:r>
      <w:r>
        <w:rPr>
          <w:rFonts w:hint="eastAsia" w:ascii="仿宋_GB2312" w:eastAsia="仿宋_GB2312"/>
          <w:color w:val="auto"/>
          <w:sz w:val="32"/>
          <w:szCs w:val="32"/>
          <w:highlight w:val="none"/>
        </w:rPr>
        <w:t>）允许联合申报，联合团队中所有单位应满足上述条件</w:t>
      </w:r>
      <w:r>
        <w:rPr>
          <w:rFonts w:hint="eastAsia" w:ascii="仿宋_GB2312"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72" w:lineRule="exact"/>
        <w:ind w:firstLine="620" w:firstLineChars="196"/>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w:t>
      </w:r>
      <w:r>
        <w:rPr>
          <w:rFonts w:hint="eastAsia" w:ascii="仿宋_GB2312" w:hAnsi="仿宋_GB2312" w:eastAsia="仿宋_GB2312" w:cs="仿宋_GB2312"/>
          <w:b/>
          <w:color w:val="auto"/>
          <w:sz w:val="32"/>
          <w:szCs w:val="32"/>
          <w:highlight w:val="none"/>
          <w:lang w:val="en-US" w:eastAsia="zh-CN"/>
        </w:rPr>
        <w:t>七</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申报材料采取现场集中受理的方式，不受理非现场申报的材料。</w:t>
      </w:r>
    </w:p>
    <w:p>
      <w:pPr>
        <w:keepNext w:val="0"/>
        <w:keepLines w:val="0"/>
        <w:pageBreakBefore w:val="0"/>
        <w:widowControl w:val="0"/>
        <w:kinsoku/>
        <w:wordWrap/>
        <w:overflowPunct/>
        <w:topLinePunct w:val="0"/>
        <w:autoSpaceDE/>
        <w:autoSpaceDN/>
        <w:bidi w:val="0"/>
        <w:adjustRightInd/>
        <w:spacing w:line="572" w:lineRule="exact"/>
        <w:ind w:firstLine="620" w:firstLineChars="196"/>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w:t>
      </w:r>
      <w:r>
        <w:rPr>
          <w:rFonts w:hint="eastAsia" w:ascii="仿宋_GB2312" w:hAnsi="仿宋_GB2312" w:eastAsia="仿宋_GB2312" w:cs="仿宋_GB2312"/>
          <w:b/>
          <w:color w:val="auto"/>
          <w:sz w:val="32"/>
          <w:szCs w:val="32"/>
          <w:highlight w:val="none"/>
          <w:lang w:val="en-US" w:eastAsia="zh-CN"/>
        </w:rPr>
        <w:t>八</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涉密指南条目的申报单位（包括联合申报中所有单位）应具有相应保密资质，非涉密指南条目的申报单位无需保密资质。</w:t>
      </w:r>
    </w:p>
    <w:p>
      <w:pPr>
        <w:keepNext w:val="0"/>
        <w:keepLines w:val="0"/>
        <w:pageBreakBefore w:val="0"/>
        <w:widowControl w:val="0"/>
        <w:kinsoku/>
        <w:wordWrap/>
        <w:overflowPunct/>
        <w:topLinePunct w:val="0"/>
        <w:autoSpaceDE/>
        <w:autoSpaceDN/>
        <w:bidi w:val="0"/>
        <w:adjustRightInd/>
        <w:spacing w:line="572" w:lineRule="exact"/>
        <w:ind w:firstLine="620" w:firstLineChars="196"/>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w:t>
      </w:r>
      <w:r>
        <w:rPr>
          <w:rFonts w:hint="eastAsia" w:ascii="仿宋_GB2312" w:hAnsi="仿宋_GB2312" w:eastAsia="仿宋_GB2312" w:cs="仿宋_GB2312"/>
          <w:b/>
          <w:color w:val="auto"/>
          <w:sz w:val="32"/>
          <w:szCs w:val="32"/>
          <w:highlight w:val="none"/>
          <w:lang w:val="en-US" w:eastAsia="zh-CN"/>
        </w:rPr>
        <w:t>九</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为进一步加大对民营企业的扶持力度，此次指南评审对民营企业有相应的扶持政策。以民营企业申报时，申报单位（包括联合申报中所有单位）须提供非国有资本控股证明。</w:t>
      </w:r>
    </w:p>
    <w:p>
      <w:pPr>
        <w:keepNext w:val="0"/>
        <w:keepLines w:val="0"/>
        <w:pageBreakBefore w:val="0"/>
        <w:widowControl w:val="0"/>
        <w:kinsoku/>
        <w:wordWrap/>
        <w:overflowPunct/>
        <w:topLinePunct w:val="0"/>
        <w:autoSpaceDE/>
        <w:autoSpaceDN/>
        <w:bidi w:val="0"/>
        <w:adjustRightInd/>
        <w:spacing w:line="572" w:lineRule="exact"/>
        <w:ind w:firstLine="63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第十条</w:t>
      </w:r>
      <w:r>
        <w:rPr>
          <w:rFonts w:hint="eastAsia" w:ascii="仿宋_GB2312" w:hAnsi="仿宋_GB2312" w:eastAsia="仿宋_GB2312" w:cs="仿宋_GB2312"/>
          <w:color w:val="auto"/>
          <w:sz w:val="32"/>
          <w:szCs w:val="32"/>
          <w:highlight w:val="none"/>
        </w:rPr>
        <w:t xml:space="preserve">  一个单位可申报多个项目，但对同一个指南发布条目，</w:t>
      </w:r>
      <w:r>
        <w:rPr>
          <w:rFonts w:hint="eastAsia" w:ascii="仿宋_GB2312" w:hAnsi="仿宋_GB2312" w:eastAsia="仿宋_GB2312" w:cs="仿宋_GB2312"/>
          <w:color w:val="auto"/>
          <w:sz w:val="32"/>
          <w:szCs w:val="32"/>
          <w:highlight w:val="none"/>
          <w:lang w:eastAsia="zh-CN"/>
        </w:rPr>
        <w:t>同一</w:t>
      </w:r>
      <w:r>
        <w:rPr>
          <w:rFonts w:hint="eastAsia" w:ascii="仿宋_GB2312" w:hAnsi="仿宋_GB2312" w:eastAsia="仿宋_GB2312" w:cs="仿宋_GB2312"/>
          <w:color w:val="auto"/>
          <w:sz w:val="32"/>
          <w:szCs w:val="32"/>
          <w:highlight w:val="none"/>
        </w:rPr>
        <w:t>单位无论作为牵头单位还是参与单位，只能申报一次，否则取消该指南条目申报资格。</w:t>
      </w:r>
      <w:r>
        <w:rPr>
          <w:rFonts w:hint="eastAsia" w:ascii="仿宋_GB2312" w:hAnsi="仿宋_GB2312" w:eastAsia="仿宋_GB2312" w:cs="仿宋_GB2312"/>
          <w:sz w:val="32"/>
          <w:szCs w:val="32"/>
          <w:highlight w:val="none"/>
          <w:lang w:eastAsia="zh-CN"/>
        </w:rPr>
        <w:t>同一单位指单位负责人为同一人或者存在控股、管理关系的分别单位</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rPr>
        <w:t>本次申报不允许只申报部分研究内容。</w:t>
      </w:r>
    </w:p>
    <w:p>
      <w:pPr>
        <w:keepNext w:val="0"/>
        <w:keepLines w:val="0"/>
        <w:pageBreakBefore w:val="0"/>
        <w:widowControl w:val="0"/>
        <w:kinsoku/>
        <w:wordWrap/>
        <w:overflowPunct/>
        <w:topLinePunct w:val="0"/>
        <w:autoSpaceDE/>
        <w:autoSpaceDN/>
        <w:bidi w:val="0"/>
        <w:adjustRightInd/>
        <w:spacing w:line="572" w:lineRule="exact"/>
        <w:ind w:firstLine="63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第十</w:t>
      </w:r>
      <w:r>
        <w:rPr>
          <w:rFonts w:hint="eastAsia" w:ascii="仿宋_GB2312" w:hAnsi="仿宋_GB2312" w:eastAsia="仿宋_GB2312" w:cs="仿宋_GB2312"/>
          <w:b/>
          <w:color w:val="auto"/>
          <w:sz w:val="32"/>
          <w:szCs w:val="32"/>
          <w:highlight w:val="none"/>
          <w:lang w:val="en-US" w:eastAsia="zh-CN"/>
        </w:rPr>
        <w:t>一</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申报材料受理时，同步完成形式审查。以下情况视为形式审查不通过：</w:t>
      </w:r>
    </w:p>
    <w:p>
      <w:pPr>
        <w:keepNext w:val="0"/>
        <w:keepLines w:val="0"/>
        <w:pageBreakBefore w:val="0"/>
        <w:widowControl w:val="0"/>
        <w:kinsoku/>
        <w:wordWrap/>
        <w:overflowPunct/>
        <w:topLinePunct w:val="0"/>
        <w:autoSpaceDE/>
        <w:autoSpaceDN/>
        <w:bidi w:val="0"/>
        <w:adjustRightInd/>
        <w:spacing w:line="572" w:lineRule="exact"/>
        <w:ind w:firstLine="63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（一）申报材料不齐全；</w:t>
      </w:r>
    </w:p>
    <w:p>
      <w:pPr>
        <w:keepNext w:val="0"/>
        <w:keepLines w:val="0"/>
        <w:pageBreakBefore w:val="0"/>
        <w:widowControl w:val="0"/>
        <w:kinsoku/>
        <w:wordWrap/>
        <w:overflowPunct/>
        <w:topLinePunct w:val="0"/>
        <w:autoSpaceDE/>
        <w:autoSpaceDN/>
        <w:bidi w:val="0"/>
        <w:adjustRightInd/>
        <w:spacing w:line="572" w:lineRule="exact"/>
        <w:ind w:firstLine="63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（二）申报项目的编号、名称与需求信息不符；</w:t>
      </w:r>
    </w:p>
    <w:p>
      <w:pPr>
        <w:keepNext w:val="0"/>
        <w:keepLines w:val="0"/>
        <w:pageBreakBefore w:val="0"/>
        <w:widowControl w:val="0"/>
        <w:kinsoku/>
        <w:wordWrap/>
        <w:overflowPunct/>
        <w:topLinePunct w:val="0"/>
        <w:autoSpaceDE/>
        <w:autoSpaceDN/>
        <w:bidi w:val="0"/>
        <w:adjustRightInd/>
        <w:spacing w:line="572" w:lineRule="exact"/>
        <w:ind w:firstLine="63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（三）申报单位中存在保密资质不满足申报课题密级要求的情况；</w:t>
      </w:r>
    </w:p>
    <w:p>
      <w:pPr>
        <w:keepNext w:val="0"/>
        <w:keepLines w:val="0"/>
        <w:pageBreakBefore w:val="0"/>
        <w:widowControl w:val="0"/>
        <w:kinsoku/>
        <w:wordWrap/>
        <w:overflowPunct/>
        <w:topLinePunct w:val="0"/>
        <w:autoSpaceDE/>
        <w:autoSpaceDN/>
        <w:bidi w:val="0"/>
        <w:adjustRightInd/>
        <w:spacing w:line="572" w:lineRule="exact"/>
        <w:ind w:firstLine="63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（四）申报人上报的初审材料中透露申报单位及申报人信息；</w:t>
      </w:r>
    </w:p>
    <w:p>
      <w:pPr>
        <w:keepNext w:val="0"/>
        <w:keepLines w:val="0"/>
        <w:pageBreakBefore w:val="0"/>
        <w:widowControl w:val="0"/>
        <w:kinsoku/>
        <w:wordWrap/>
        <w:overflowPunct/>
        <w:topLinePunct w:val="0"/>
        <w:autoSpaceDE/>
        <w:autoSpaceDN/>
        <w:bidi w:val="0"/>
        <w:adjustRightInd/>
        <w:spacing w:line="572" w:lineRule="exact"/>
        <w:ind w:firstLine="63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（五）有关材料未按要求加盖申报单位公章，或公章与申报单位不符；</w:t>
      </w:r>
    </w:p>
    <w:p>
      <w:pPr>
        <w:keepNext w:val="0"/>
        <w:keepLines w:val="0"/>
        <w:pageBreakBefore w:val="0"/>
        <w:widowControl w:val="0"/>
        <w:kinsoku/>
        <w:wordWrap/>
        <w:overflowPunct/>
        <w:topLinePunct w:val="0"/>
        <w:autoSpaceDE/>
        <w:autoSpaceDN/>
        <w:bidi w:val="0"/>
        <w:adjustRightInd/>
        <w:spacing w:line="572" w:lineRule="exact"/>
        <w:ind w:firstLine="63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（六）申报单位不论作为牵头单位或参与单位，多次申报同一条指南条目；</w:t>
      </w:r>
    </w:p>
    <w:p>
      <w:pPr>
        <w:keepNext w:val="0"/>
        <w:keepLines w:val="0"/>
        <w:pageBreakBefore w:val="0"/>
        <w:widowControl w:val="0"/>
        <w:kinsoku/>
        <w:wordWrap/>
        <w:overflowPunct/>
        <w:topLinePunct w:val="0"/>
        <w:autoSpaceDE/>
        <w:autoSpaceDN/>
        <w:bidi w:val="0"/>
        <w:adjustRightInd/>
        <w:spacing w:line="572" w:lineRule="exact"/>
        <w:ind w:firstLine="63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（七）以民营企业申报，但牵头单位或参与单位没有非国有资本控股证明的</w:t>
      </w:r>
      <w:r>
        <w:rPr>
          <w:rFonts w:hint="eastAsia" w:ascii="仿宋_GB2312" w:hAnsi="仿宋_GB2312" w:eastAsia="仿宋_GB2312" w:cs="仿宋_GB2312"/>
          <w:color w:val="auto"/>
          <w:sz w:val="32"/>
          <w:szCs w:val="32"/>
          <w:highlight w:val="none"/>
          <w:lang w:eastAsia="zh-CN"/>
        </w:rPr>
        <w:t>情况</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pacing w:line="572" w:lineRule="exact"/>
        <w:ind w:firstLine="689" w:firstLineChars="218"/>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（八）其他明显不符合申报要求的情况。</w:t>
      </w:r>
    </w:p>
    <w:p>
      <w:pPr>
        <w:keepNext w:val="0"/>
        <w:keepLines w:val="0"/>
        <w:pageBreakBefore w:val="0"/>
        <w:widowControl w:val="0"/>
        <w:kinsoku/>
        <w:wordWrap/>
        <w:overflowPunct/>
        <w:topLinePunct w:val="0"/>
        <w:autoSpaceDE/>
        <w:autoSpaceDN/>
        <w:bidi w:val="0"/>
        <w:adjustRightInd/>
        <w:spacing w:line="572" w:lineRule="exact"/>
        <w:ind w:firstLine="632" w:firstLineChars="200"/>
        <w:textAlignment w:val="auto"/>
        <w:outlineLvl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第十</w:t>
      </w:r>
      <w:r>
        <w:rPr>
          <w:rFonts w:hint="eastAsia" w:ascii="仿宋_GB2312" w:hAnsi="仿宋_GB2312" w:eastAsia="仿宋_GB2312" w:cs="仿宋_GB2312"/>
          <w:b/>
          <w:color w:val="auto"/>
          <w:sz w:val="32"/>
          <w:szCs w:val="32"/>
          <w:highlight w:val="none"/>
          <w:lang w:val="en-US" w:eastAsia="zh-CN"/>
        </w:rPr>
        <w:t>二</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现场形式审查未通过的申报材料，可修改后在项目受理期内再次提交，超过受理期限不予受理。</w:t>
      </w:r>
    </w:p>
    <w:p>
      <w:pPr>
        <w:pStyle w:val="14"/>
        <w:keepNext w:val="0"/>
        <w:keepLines w:val="0"/>
        <w:pageBreakBefore w:val="0"/>
        <w:widowControl w:val="0"/>
        <w:kinsoku/>
        <w:wordWrap/>
        <w:overflowPunct/>
        <w:topLinePunct w:val="0"/>
        <w:autoSpaceDE/>
        <w:autoSpaceDN/>
        <w:bidi w:val="0"/>
        <w:adjustRightInd/>
        <w:snapToGrid w:val="0"/>
        <w:spacing w:line="572" w:lineRule="exact"/>
        <w:ind w:firstLine="629"/>
        <w:textAlignment w:val="auto"/>
        <w:rPr>
          <w:rFonts w:eastAsia="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pacing w:line="572" w:lineRule="exact"/>
        <w:jc w:val="center"/>
        <w:textAlignment w:val="auto"/>
        <w:rPr>
          <w:rFonts w:eastAsia="黑体"/>
          <w:color w:val="auto"/>
          <w:sz w:val="32"/>
          <w:szCs w:val="32"/>
          <w:highlight w:val="none"/>
        </w:rPr>
      </w:pPr>
      <w:r>
        <w:rPr>
          <w:rFonts w:eastAsia="黑体"/>
          <w:color w:val="auto"/>
          <w:sz w:val="32"/>
          <w:szCs w:val="32"/>
          <w:highlight w:val="none"/>
        </w:rPr>
        <w:t>第</w:t>
      </w:r>
      <w:r>
        <w:rPr>
          <w:rFonts w:hint="eastAsia" w:eastAsia="黑体"/>
          <w:color w:val="auto"/>
          <w:sz w:val="32"/>
          <w:szCs w:val="32"/>
          <w:highlight w:val="none"/>
          <w:lang w:eastAsia="zh-CN"/>
        </w:rPr>
        <w:t>三</w:t>
      </w:r>
      <w:r>
        <w:rPr>
          <w:rFonts w:eastAsia="黑体"/>
          <w:color w:val="auto"/>
          <w:sz w:val="32"/>
          <w:szCs w:val="32"/>
          <w:highlight w:val="none"/>
        </w:rPr>
        <w:t>章  立项评审专家组</w:t>
      </w:r>
    </w:p>
    <w:p>
      <w:pPr>
        <w:keepNext w:val="0"/>
        <w:keepLines w:val="0"/>
        <w:pageBreakBefore w:val="0"/>
        <w:widowControl w:val="0"/>
        <w:kinsoku/>
        <w:wordWrap/>
        <w:overflowPunct/>
        <w:topLinePunct w:val="0"/>
        <w:autoSpaceDE/>
        <w:autoSpaceDN/>
        <w:bidi w:val="0"/>
        <w:adjustRightInd/>
        <w:spacing w:line="572" w:lineRule="exact"/>
        <w:ind w:firstLine="632" w:firstLineChars="200"/>
        <w:textAlignment w:val="auto"/>
        <w:outlineLvl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第十</w:t>
      </w:r>
      <w:r>
        <w:rPr>
          <w:rFonts w:hint="eastAsia" w:ascii="仿宋_GB2312" w:hAnsi="仿宋_GB2312" w:eastAsia="仿宋_GB2312" w:cs="仿宋_GB2312"/>
          <w:b/>
          <w:color w:val="auto"/>
          <w:sz w:val="32"/>
          <w:szCs w:val="32"/>
          <w:highlight w:val="none"/>
          <w:lang w:val="en-US" w:eastAsia="zh-CN"/>
        </w:rPr>
        <w:t>三</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立项评审专家组以</w:t>
      </w:r>
      <w:r>
        <w:rPr>
          <w:rFonts w:hint="eastAsia" w:ascii="仿宋_GB2312" w:hAnsi="仿宋_GB2312" w:eastAsia="仿宋_GB2312" w:cs="仿宋_GB2312"/>
          <w:sz w:val="32"/>
          <w:szCs w:val="32"/>
          <w:highlight w:val="none"/>
          <w:lang w:val="en-US" w:eastAsia="zh-CN"/>
        </w:rPr>
        <w:t>装备发</w:t>
      </w:r>
      <w:r>
        <w:rPr>
          <w:rFonts w:hint="eastAsia" w:eastAsia="仿宋_GB2312"/>
          <w:sz w:val="32"/>
          <w:szCs w:val="32"/>
          <w:highlight w:val="none"/>
          <w:lang w:val="en-US" w:eastAsia="zh-CN"/>
        </w:rPr>
        <w:t>展专业组和全军共用信息系统装备竞争性采购评审专家库基础类专家</w:t>
      </w:r>
      <w:r>
        <w:rPr>
          <w:rFonts w:hint="eastAsia" w:ascii="仿宋_GB2312" w:hAnsi="仿宋_GB2312" w:eastAsia="仿宋_GB2312" w:cs="仿宋_GB2312"/>
          <w:color w:val="auto"/>
          <w:sz w:val="32"/>
          <w:szCs w:val="32"/>
          <w:highlight w:val="none"/>
        </w:rPr>
        <w:t>为主体，采用“指定+随机抽取相结合”的方式进行遴选。初审专家人数一般控制在7-9人，以技术专家为主；会议评审专家人数一般控制在11-17人，包括技术专家和价格专家，其中价格专家不少于2人。</w:t>
      </w:r>
    </w:p>
    <w:p>
      <w:pPr>
        <w:keepNext w:val="0"/>
        <w:keepLines w:val="0"/>
        <w:pageBreakBefore w:val="0"/>
        <w:widowControl w:val="0"/>
        <w:kinsoku/>
        <w:wordWrap/>
        <w:overflowPunct/>
        <w:topLinePunct w:val="0"/>
        <w:autoSpaceDE/>
        <w:autoSpaceDN/>
        <w:bidi w:val="0"/>
        <w:adjustRightInd/>
        <w:spacing w:line="572" w:lineRule="exact"/>
        <w:ind w:firstLine="632" w:firstLineChars="200"/>
        <w:textAlignment w:val="auto"/>
        <w:outlineLvl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第十</w:t>
      </w:r>
      <w:r>
        <w:rPr>
          <w:rFonts w:hint="eastAsia" w:ascii="仿宋_GB2312" w:hAnsi="仿宋_GB2312" w:eastAsia="仿宋_GB2312" w:cs="仿宋_GB2312"/>
          <w:b/>
          <w:color w:val="auto"/>
          <w:sz w:val="32"/>
          <w:szCs w:val="32"/>
          <w:highlight w:val="none"/>
          <w:lang w:val="en-US" w:eastAsia="zh-CN"/>
        </w:rPr>
        <w:t>四</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评审专家开展评审工作前，应当熟悉和掌握评审活动的规范化要求</w:t>
      </w:r>
      <w:r>
        <w:rPr>
          <w:rFonts w:hint="eastAsia" w:eastAsia="仿宋_GB2312"/>
          <w:color w:val="auto"/>
          <w:sz w:val="32"/>
          <w:szCs w:val="32"/>
          <w:highlight w:val="none"/>
        </w:rPr>
        <w:t>（</w:t>
      </w:r>
      <w:r>
        <w:rPr>
          <w:rFonts w:hint="eastAsia" w:ascii="楷体_GB2312" w:eastAsia="楷体_GB2312"/>
          <w:color w:val="auto"/>
          <w:sz w:val="28"/>
          <w:szCs w:val="28"/>
          <w:highlight w:val="none"/>
        </w:rPr>
        <w:t>包括保密、诚信等要求</w:t>
      </w:r>
      <w:r>
        <w:rPr>
          <w:rFonts w:hint="eastAsia" w:eastAsia="仿宋_GB2312"/>
          <w:color w:val="auto"/>
          <w:sz w:val="32"/>
          <w:szCs w:val="32"/>
          <w:highlight w:val="none"/>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并</w:t>
      </w:r>
      <w:r>
        <w:rPr>
          <w:rFonts w:hint="eastAsia" w:ascii="仿宋_GB2312" w:hAnsi="仿宋_GB2312" w:eastAsia="仿宋_GB2312" w:cs="仿宋_GB2312"/>
          <w:color w:val="auto"/>
          <w:sz w:val="32"/>
          <w:szCs w:val="32"/>
          <w:highlight w:val="none"/>
        </w:rPr>
        <w:t>签订“专家承诺书”。</w:t>
      </w:r>
    </w:p>
    <w:p>
      <w:pPr>
        <w:keepNext w:val="0"/>
        <w:keepLines w:val="0"/>
        <w:pageBreakBefore w:val="0"/>
        <w:widowControl w:val="0"/>
        <w:kinsoku/>
        <w:wordWrap/>
        <w:overflowPunct/>
        <w:topLinePunct w:val="0"/>
        <w:autoSpaceDE/>
        <w:autoSpaceDN/>
        <w:bidi w:val="0"/>
        <w:adjustRightInd/>
        <w:spacing w:line="572" w:lineRule="exact"/>
        <w:ind w:firstLine="632" w:firstLineChars="200"/>
        <w:textAlignment w:val="auto"/>
        <w:outlineLvl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第十</w:t>
      </w:r>
      <w:r>
        <w:rPr>
          <w:rFonts w:hint="eastAsia" w:ascii="仿宋_GB2312" w:hAnsi="仿宋_GB2312" w:eastAsia="仿宋_GB2312" w:cs="仿宋_GB2312"/>
          <w:b/>
          <w:color w:val="auto"/>
          <w:sz w:val="32"/>
          <w:szCs w:val="32"/>
          <w:highlight w:val="none"/>
          <w:lang w:val="en-US" w:eastAsia="zh-CN"/>
        </w:rPr>
        <w:t>五</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评审专家要遵守相关保密规定，严守国家机密，严格控制知密范围。凡属涉密内容，不得以任何方式对外发表和泄漏。</w:t>
      </w:r>
    </w:p>
    <w:p>
      <w:pPr>
        <w:keepNext w:val="0"/>
        <w:keepLines w:val="0"/>
        <w:pageBreakBefore w:val="0"/>
        <w:widowControl w:val="0"/>
        <w:kinsoku/>
        <w:wordWrap/>
        <w:overflowPunct/>
        <w:topLinePunct w:val="0"/>
        <w:autoSpaceDE/>
        <w:autoSpaceDN/>
        <w:bidi w:val="0"/>
        <w:adjustRightInd/>
        <w:spacing w:line="572" w:lineRule="exact"/>
        <w:ind w:firstLine="632" w:firstLineChars="200"/>
        <w:textAlignment w:val="auto"/>
        <w:outlineLvl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第十</w:t>
      </w:r>
      <w:r>
        <w:rPr>
          <w:rFonts w:hint="eastAsia" w:ascii="仿宋_GB2312" w:hAnsi="仿宋_GB2312" w:eastAsia="仿宋_GB2312" w:cs="仿宋_GB2312"/>
          <w:b/>
          <w:color w:val="auto"/>
          <w:sz w:val="32"/>
          <w:szCs w:val="32"/>
          <w:highlight w:val="none"/>
          <w:lang w:val="en-US" w:eastAsia="zh-CN"/>
        </w:rPr>
        <w:t>六</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项目评审严格执行回避制度。评审专家有下列情形之一的，必须申请回避相关项目的评审：</w:t>
      </w:r>
    </w:p>
    <w:p>
      <w:pPr>
        <w:keepNext w:val="0"/>
        <w:keepLines w:val="0"/>
        <w:pageBreakBefore w:val="0"/>
        <w:widowControl w:val="0"/>
        <w:kinsoku/>
        <w:wordWrap/>
        <w:overflowPunct/>
        <w:topLinePunct w:val="0"/>
        <w:autoSpaceDE/>
        <w:autoSpaceDN/>
        <w:bidi w:val="0"/>
        <w:adjustRightInd/>
        <w:spacing w:line="572" w:lineRule="exact"/>
        <w:ind w:firstLine="632" w:firstLineChars="200"/>
        <w:textAlignment w:val="auto"/>
        <w:outlineLvl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（一）有本人申报或参与；</w:t>
      </w:r>
    </w:p>
    <w:p>
      <w:pPr>
        <w:pStyle w:val="14"/>
        <w:keepNext w:val="0"/>
        <w:keepLines w:val="0"/>
        <w:pageBreakBefore w:val="0"/>
        <w:widowControl w:val="0"/>
        <w:kinsoku/>
        <w:wordWrap/>
        <w:overflowPunct/>
        <w:topLinePunct w:val="0"/>
        <w:autoSpaceDE/>
        <w:autoSpaceDN/>
        <w:bidi w:val="0"/>
        <w:adjustRightInd/>
        <w:snapToGrid w:val="0"/>
        <w:spacing w:line="572" w:lineRule="exact"/>
        <w:ind w:firstLine="629"/>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（二）与申报单位（含牵头单位和联合单位）属于同一法人单位；</w:t>
      </w:r>
    </w:p>
    <w:p>
      <w:pPr>
        <w:keepNext w:val="0"/>
        <w:keepLines w:val="0"/>
        <w:pageBreakBefore w:val="0"/>
        <w:widowControl w:val="0"/>
        <w:kinsoku/>
        <w:wordWrap/>
        <w:overflowPunct/>
        <w:topLinePunct w:val="0"/>
        <w:autoSpaceDE/>
        <w:autoSpaceDN/>
        <w:bidi w:val="0"/>
        <w:adjustRightInd/>
        <w:spacing w:line="572" w:lineRule="exact"/>
        <w:ind w:firstLine="632" w:firstLineChars="200"/>
        <w:textAlignment w:val="auto"/>
        <w:outlineLvl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（三）与申报人有其他关系可能影响公正评审。</w:t>
      </w:r>
    </w:p>
    <w:p>
      <w:pPr>
        <w:pStyle w:val="14"/>
        <w:keepNext w:val="0"/>
        <w:keepLines w:val="0"/>
        <w:pageBreakBefore w:val="0"/>
        <w:widowControl w:val="0"/>
        <w:kinsoku/>
        <w:wordWrap/>
        <w:overflowPunct/>
        <w:topLinePunct w:val="0"/>
        <w:autoSpaceDE/>
        <w:autoSpaceDN/>
        <w:bidi w:val="0"/>
        <w:adjustRightInd/>
        <w:snapToGrid w:val="0"/>
        <w:spacing w:line="572" w:lineRule="exact"/>
        <w:ind w:firstLine="629"/>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color w:val="auto"/>
          <w:sz w:val="32"/>
          <w:szCs w:val="32"/>
          <w:highlight w:val="none"/>
        </w:rPr>
        <w:t>第十</w:t>
      </w:r>
      <w:r>
        <w:rPr>
          <w:rFonts w:hint="eastAsia" w:ascii="仿宋_GB2312" w:eastAsia="仿宋_GB2312"/>
          <w:b/>
          <w:color w:val="auto"/>
          <w:sz w:val="32"/>
          <w:szCs w:val="32"/>
          <w:highlight w:val="none"/>
          <w:lang w:val="en-US" w:eastAsia="zh-CN"/>
        </w:rPr>
        <w:t>七</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回避制度：初审环节，</w:t>
      </w:r>
      <w:r>
        <w:rPr>
          <w:rFonts w:hint="eastAsia" w:ascii="仿宋_GB2312" w:eastAsia="仿宋_GB2312"/>
          <w:color w:val="auto"/>
          <w:sz w:val="32"/>
          <w:szCs w:val="32"/>
          <w:highlight w:val="none"/>
        </w:rPr>
        <w:t>回避专家打分不计入相关课题评审结果；会审环节，回避专家须离场回避。</w:t>
      </w:r>
    </w:p>
    <w:p>
      <w:pPr>
        <w:pStyle w:val="14"/>
        <w:keepNext w:val="0"/>
        <w:keepLines w:val="0"/>
        <w:pageBreakBefore w:val="0"/>
        <w:widowControl w:val="0"/>
        <w:kinsoku/>
        <w:wordWrap/>
        <w:overflowPunct/>
        <w:topLinePunct w:val="0"/>
        <w:autoSpaceDE/>
        <w:autoSpaceDN/>
        <w:bidi w:val="0"/>
        <w:adjustRightInd/>
        <w:snapToGrid w:val="0"/>
        <w:spacing w:line="572" w:lineRule="exact"/>
        <w:ind w:firstLine="629"/>
        <w:textAlignment w:val="auto"/>
        <w:rPr>
          <w:rFonts w:eastAsia="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pacing w:line="572" w:lineRule="exact"/>
        <w:jc w:val="center"/>
        <w:textAlignment w:val="auto"/>
        <w:rPr>
          <w:rFonts w:eastAsia="黑体"/>
          <w:color w:val="auto"/>
          <w:sz w:val="32"/>
          <w:szCs w:val="32"/>
          <w:highlight w:val="none"/>
        </w:rPr>
      </w:pPr>
      <w:r>
        <w:rPr>
          <w:rFonts w:eastAsia="黑体"/>
          <w:color w:val="auto"/>
          <w:sz w:val="32"/>
          <w:szCs w:val="32"/>
          <w:highlight w:val="none"/>
        </w:rPr>
        <w:t>第四章  初审</w:t>
      </w:r>
    </w:p>
    <w:p>
      <w:pPr>
        <w:keepNext w:val="0"/>
        <w:keepLines w:val="0"/>
        <w:pageBreakBefore w:val="0"/>
        <w:widowControl w:val="0"/>
        <w:kinsoku/>
        <w:wordWrap/>
        <w:overflowPunct/>
        <w:topLinePunct w:val="0"/>
        <w:autoSpaceDE/>
        <w:autoSpaceDN/>
        <w:bidi w:val="0"/>
        <w:adjustRightInd/>
        <w:spacing w:line="572" w:lineRule="exact"/>
        <w:ind w:firstLine="632" w:firstLineChars="200"/>
        <w:textAlignment w:val="auto"/>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第十</w:t>
      </w:r>
      <w:r>
        <w:rPr>
          <w:rFonts w:hint="eastAsia" w:ascii="仿宋_GB2312" w:hAnsi="仿宋_GB2312" w:eastAsia="仿宋_GB2312" w:cs="仿宋_GB2312"/>
          <w:b/>
          <w:color w:val="auto"/>
          <w:sz w:val="32"/>
          <w:szCs w:val="32"/>
          <w:highlight w:val="none"/>
          <w:lang w:val="en-US" w:eastAsia="zh-CN"/>
        </w:rPr>
        <w:t>八</w:t>
      </w:r>
      <w:r>
        <w:rPr>
          <w:rFonts w:hint="eastAsia" w:ascii="仿宋_GB2312" w:eastAsia="仿宋_GB2312"/>
          <w:b/>
          <w:color w:val="auto"/>
          <w:sz w:val="32"/>
          <w:szCs w:val="32"/>
          <w:highlight w:val="none"/>
        </w:rPr>
        <w:t xml:space="preserve">条  </w:t>
      </w:r>
      <w:r>
        <w:rPr>
          <w:rFonts w:hint="eastAsia" w:ascii="仿宋_GB2312" w:eastAsia="仿宋_GB2312"/>
          <w:color w:val="auto"/>
          <w:sz w:val="32"/>
          <w:szCs w:val="32"/>
          <w:highlight w:val="none"/>
        </w:rPr>
        <w:t>超过5个申报单位的课题，需进行初审和会议评审；不超过5个</w:t>
      </w:r>
      <w:r>
        <w:rPr>
          <w:rFonts w:hint="eastAsia" w:ascii="仿宋_GB2312" w:hAnsi="Times New Roman" w:eastAsia="仿宋_GB2312" w:cs="Times New Roman"/>
          <w:color w:val="auto"/>
          <w:sz w:val="32"/>
          <w:szCs w:val="32"/>
          <w:highlight w:val="none"/>
        </w:rPr>
        <w:t>（含）申报</w:t>
      </w:r>
      <w:r>
        <w:rPr>
          <w:rFonts w:hint="eastAsia" w:ascii="仿宋_GB2312" w:eastAsia="仿宋_GB2312"/>
          <w:color w:val="auto"/>
          <w:sz w:val="32"/>
          <w:szCs w:val="32"/>
          <w:highlight w:val="none"/>
        </w:rPr>
        <w:t>单位的课题直接采取会议评审方式。</w:t>
      </w:r>
    </w:p>
    <w:p>
      <w:pPr>
        <w:keepNext w:val="0"/>
        <w:keepLines w:val="0"/>
        <w:pageBreakBefore w:val="0"/>
        <w:widowControl w:val="0"/>
        <w:kinsoku/>
        <w:wordWrap/>
        <w:overflowPunct/>
        <w:topLinePunct w:val="0"/>
        <w:autoSpaceDE/>
        <w:autoSpaceDN/>
        <w:bidi w:val="0"/>
        <w:adjustRightInd/>
        <w:spacing w:line="572" w:lineRule="exact"/>
        <w:ind w:firstLine="620" w:firstLineChars="196"/>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w:t>
      </w:r>
      <w:r>
        <w:rPr>
          <w:rFonts w:hint="eastAsia" w:ascii="仿宋_GB2312" w:hAnsi="仿宋_GB2312" w:eastAsia="仿宋_GB2312" w:cs="仿宋_GB2312"/>
          <w:b/>
          <w:color w:val="auto"/>
          <w:sz w:val="32"/>
          <w:szCs w:val="32"/>
          <w:highlight w:val="none"/>
          <w:lang w:val="en-US" w:eastAsia="zh-CN"/>
        </w:rPr>
        <w:t>十九</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初审采取专家集中盲评方式，每名专家</w:t>
      </w:r>
      <w:r>
        <w:rPr>
          <w:rFonts w:hint="eastAsia" w:ascii="仿宋_GB2312" w:hAnsi="仿宋_GB2312" w:eastAsia="仿宋_GB2312" w:cs="仿宋_GB2312"/>
          <w:color w:val="auto"/>
          <w:sz w:val="32"/>
          <w:szCs w:val="32"/>
          <w:highlight w:val="none"/>
          <w:lang w:val="en-US" w:eastAsia="zh-CN"/>
        </w:rPr>
        <w:t>各自独立</w:t>
      </w:r>
      <w:r>
        <w:rPr>
          <w:rFonts w:hint="eastAsia"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lang w:val="en-US" w:eastAsia="zh-CN"/>
        </w:rPr>
        <w:t>项目</w:t>
      </w:r>
      <w:r>
        <w:rPr>
          <w:rFonts w:hint="eastAsia" w:ascii="仿宋_GB2312" w:hAnsi="仿宋_GB2312" w:eastAsia="仿宋_GB2312" w:cs="仿宋_GB2312"/>
          <w:color w:val="auto"/>
          <w:sz w:val="32"/>
          <w:szCs w:val="32"/>
          <w:highlight w:val="none"/>
        </w:rPr>
        <w:t>建议书进行书面审查并打分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初审满分为100分，</w:t>
      </w:r>
      <w:r>
        <w:rPr>
          <w:rFonts w:hint="eastAsia" w:ascii="仿宋_GB2312" w:eastAsia="仿宋_GB2312"/>
          <w:color w:val="auto"/>
          <w:sz w:val="32"/>
          <w:szCs w:val="32"/>
          <w:highlight w:val="none"/>
        </w:rPr>
        <w:t>每个</w:t>
      </w:r>
      <w:r>
        <w:rPr>
          <w:rFonts w:hint="eastAsia" w:ascii="仿宋_GB2312" w:eastAsia="仿宋_GB2312"/>
          <w:color w:val="auto"/>
          <w:sz w:val="32"/>
          <w:szCs w:val="32"/>
          <w:highlight w:val="none"/>
          <w:lang w:val="en-US" w:eastAsia="zh-CN"/>
        </w:rPr>
        <w:t>项目</w:t>
      </w:r>
      <w:r>
        <w:rPr>
          <w:rFonts w:hint="eastAsia" w:ascii="仿宋_GB2312" w:eastAsia="仿宋_GB2312"/>
          <w:color w:val="auto"/>
          <w:sz w:val="32"/>
          <w:szCs w:val="32"/>
          <w:highlight w:val="none"/>
        </w:rPr>
        <w:t>申报单位的得分为去掉一个最高分和去掉一个最低分后的平均值。</w:t>
      </w:r>
    </w:p>
    <w:p>
      <w:pPr>
        <w:pStyle w:val="14"/>
        <w:keepNext w:val="0"/>
        <w:keepLines w:val="0"/>
        <w:pageBreakBefore w:val="0"/>
        <w:widowControl w:val="0"/>
        <w:kinsoku/>
        <w:wordWrap/>
        <w:overflowPunct/>
        <w:topLinePunct w:val="0"/>
        <w:autoSpaceDE/>
        <w:autoSpaceDN/>
        <w:bidi w:val="0"/>
        <w:adjustRightInd/>
        <w:snapToGrid w:val="0"/>
        <w:spacing w:line="572" w:lineRule="exact"/>
        <w:ind w:firstLine="629"/>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w:t>
      </w:r>
      <w:r>
        <w:rPr>
          <w:rFonts w:hint="eastAsia" w:ascii="仿宋_GB2312" w:hAnsi="仿宋_GB2312" w:eastAsia="仿宋_GB2312" w:cs="仿宋_GB2312"/>
          <w:b/>
          <w:color w:val="auto"/>
          <w:sz w:val="32"/>
          <w:szCs w:val="32"/>
          <w:highlight w:val="none"/>
          <w:lang w:val="en-US" w:eastAsia="zh-CN"/>
        </w:rPr>
        <w:t>二十</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初审重点审查研究目标、技术指标、研究进度、研究成果、应用前景、创新性、研究方案及技术途径七部分。其中，研究目标15分、技术指标15分、研究进度5分、研究成果10分、创新性15分、研究方案及技术途径30分、应用前景10分。对研究方向不符合项目指南要求的，总分计为零分。</w:t>
      </w:r>
    </w:p>
    <w:p>
      <w:pPr>
        <w:pStyle w:val="14"/>
        <w:keepNext w:val="0"/>
        <w:keepLines w:val="0"/>
        <w:pageBreakBefore w:val="0"/>
        <w:widowControl w:val="0"/>
        <w:kinsoku/>
        <w:wordWrap/>
        <w:overflowPunct/>
        <w:topLinePunct w:val="0"/>
        <w:autoSpaceDE/>
        <w:autoSpaceDN/>
        <w:bidi w:val="0"/>
        <w:adjustRightInd/>
        <w:snapToGrid w:val="0"/>
        <w:spacing w:line="572" w:lineRule="exact"/>
        <w:ind w:firstLine="629"/>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w:t>
      </w:r>
      <w:r>
        <w:rPr>
          <w:rFonts w:hint="eastAsia" w:ascii="仿宋_GB2312" w:hAnsi="仿宋_GB2312" w:eastAsia="仿宋_GB2312" w:cs="仿宋_GB2312"/>
          <w:b/>
          <w:color w:val="auto"/>
          <w:sz w:val="32"/>
          <w:szCs w:val="32"/>
          <w:highlight w:val="none"/>
          <w:lang w:val="en-US" w:eastAsia="zh-CN"/>
        </w:rPr>
        <w:t>二十一</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初审通过原则：</w:t>
      </w:r>
    </w:p>
    <w:p>
      <w:pPr>
        <w:pStyle w:val="14"/>
        <w:keepNext w:val="0"/>
        <w:keepLines w:val="0"/>
        <w:pageBreakBefore w:val="0"/>
        <w:widowControl w:val="0"/>
        <w:kinsoku/>
        <w:wordWrap/>
        <w:overflowPunct/>
        <w:topLinePunct w:val="0"/>
        <w:autoSpaceDE/>
        <w:autoSpaceDN/>
        <w:bidi w:val="0"/>
        <w:adjustRightInd/>
        <w:snapToGrid w:val="0"/>
        <w:spacing w:line="572" w:lineRule="exact"/>
        <w:ind w:firstLine="629"/>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（一）初审得分不得低于60分；</w:t>
      </w:r>
    </w:p>
    <w:p>
      <w:pPr>
        <w:pStyle w:val="14"/>
        <w:keepNext w:val="0"/>
        <w:keepLines w:val="0"/>
        <w:pageBreakBefore w:val="0"/>
        <w:widowControl w:val="0"/>
        <w:kinsoku/>
        <w:wordWrap/>
        <w:overflowPunct/>
        <w:topLinePunct w:val="0"/>
        <w:autoSpaceDE/>
        <w:autoSpaceDN/>
        <w:bidi w:val="0"/>
        <w:adjustRightInd/>
        <w:snapToGrid w:val="0"/>
        <w:spacing w:line="572" w:lineRule="exact"/>
        <w:ind w:firstLine="629"/>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（二）每个项目通过初审的项目建议书按得分排序，数量一般控制在5个（含）以内</w:t>
      </w:r>
      <w:r>
        <w:rPr>
          <w:rFonts w:hint="eastAsia" w:ascii="仿宋_GB2312" w:hAnsi="仿宋_GB2312" w:eastAsia="仿宋_GB2312" w:cs="仿宋_GB2312"/>
          <w:bCs/>
          <w:color w:val="auto"/>
          <w:sz w:val="32"/>
          <w:szCs w:val="32"/>
          <w:highlight w:val="none"/>
        </w:rPr>
        <w:t>，如第5名出现</w:t>
      </w:r>
      <w:r>
        <w:rPr>
          <w:rFonts w:hint="eastAsia" w:ascii="仿宋_GB2312" w:hAnsi="仿宋_GB2312" w:eastAsia="仿宋_GB2312" w:cs="仿宋_GB2312"/>
          <w:color w:val="auto"/>
          <w:sz w:val="32"/>
          <w:szCs w:val="32"/>
          <w:highlight w:val="none"/>
        </w:rPr>
        <w:t>并列现象，则均通过初审。</w:t>
      </w:r>
    </w:p>
    <w:p>
      <w:pPr>
        <w:pStyle w:val="14"/>
        <w:keepNext w:val="0"/>
        <w:keepLines w:val="0"/>
        <w:pageBreakBefore w:val="0"/>
        <w:widowControl w:val="0"/>
        <w:kinsoku/>
        <w:wordWrap/>
        <w:overflowPunct/>
        <w:topLinePunct w:val="0"/>
        <w:autoSpaceDE/>
        <w:autoSpaceDN/>
        <w:bidi w:val="0"/>
        <w:adjustRightInd/>
        <w:snapToGrid w:val="0"/>
        <w:spacing w:line="572" w:lineRule="exact"/>
        <w:ind w:firstLine="629"/>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w:t>
      </w:r>
      <w:r>
        <w:rPr>
          <w:rFonts w:hint="eastAsia" w:ascii="仿宋_GB2312" w:hAnsi="仿宋_GB2312" w:eastAsia="仿宋_GB2312" w:cs="仿宋_GB2312"/>
          <w:b/>
          <w:color w:val="auto"/>
          <w:sz w:val="32"/>
          <w:szCs w:val="32"/>
          <w:highlight w:val="none"/>
          <w:lang w:val="en-US" w:eastAsia="zh-CN"/>
        </w:rPr>
        <w:t>二十二</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为进一步加大对民营企业的扶持力度，如本指南条目按初审打分排序后，没有民营企业（</w:t>
      </w:r>
      <w:r>
        <w:rPr>
          <w:rFonts w:hint="eastAsia" w:ascii="仿宋_GB2312" w:hAnsi="仿宋_GB2312" w:eastAsia="仿宋_GB2312" w:cs="仿宋_GB2312"/>
          <w:color w:val="auto"/>
          <w:sz w:val="32"/>
          <w:szCs w:val="32"/>
          <w:highlight w:val="none"/>
          <w:lang w:val="en-US" w:eastAsia="zh-CN"/>
        </w:rPr>
        <w:t>含</w:t>
      </w:r>
      <w:r>
        <w:rPr>
          <w:rFonts w:hint="eastAsia" w:ascii="仿宋_GB2312" w:hAnsi="仿宋_GB2312" w:eastAsia="仿宋_GB2312" w:cs="仿宋_GB2312"/>
          <w:color w:val="auto"/>
          <w:sz w:val="32"/>
          <w:szCs w:val="32"/>
          <w:highlight w:val="none"/>
        </w:rPr>
        <w:t>独立申报或多家民营企业联合申报）入围，则增补民营企业中分数最高者（必须超过60分）进入会议评审。</w:t>
      </w:r>
    </w:p>
    <w:p>
      <w:pPr>
        <w:keepNext w:val="0"/>
        <w:keepLines w:val="0"/>
        <w:pageBreakBefore w:val="0"/>
        <w:widowControl w:val="0"/>
        <w:kinsoku/>
        <w:wordWrap/>
        <w:overflowPunct/>
        <w:topLinePunct w:val="0"/>
        <w:autoSpaceDE/>
        <w:autoSpaceDN/>
        <w:bidi w:val="0"/>
        <w:adjustRightInd/>
        <w:spacing w:line="572" w:lineRule="exact"/>
        <w:jc w:val="center"/>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pacing w:line="572" w:lineRule="exact"/>
        <w:jc w:val="center"/>
        <w:textAlignment w:val="auto"/>
        <w:rPr>
          <w:rFonts w:eastAsia="黑体"/>
          <w:color w:val="auto"/>
          <w:sz w:val="32"/>
          <w:szCs w:val="32"/>
          <w:highlight w:val="none"/>
        </w:rPr>
      </w:pPr>
      <w:r>
        <w:rPr>
          <w:rFonts w:eastAsia="黑体"/>
          <w:color w:val="auto"/>
          <w:sz w:val="32"/>
          <w:szCs w:val="32"/>
          <w:highlight w:val="none"/>
        </w:rPr>
        <w:t>第五章  会议评审</w:t>
      </w:r>
    </w:p>
    <w:p>
      <w:pPr>
        <w:pStyle w:val="14"/>
        <w:keepNext w:val="0"/>
        <w:keepLines w:val="0"/>
        <w:pageBreakBefore w:val="0"/>
        <w:widowControl w:val="0"/>
        <w:kinsoku/>
        <w:wordWrap/>
        <w:overflowPunct/>
        <w:topLinePunct w:val="0"/>
        <w:autoSpaceDE/>
        <w:autoSpaceDN/>
        <w:bidi w:val="0"/>
        <w:adjustRightInd/>
        <w:snapToGrid w:val="0"/>
        <w:spacing w:line="572" w:lineRule="exact"/>
        <w:ind w:firstLine="629"/>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第二十</w:t>
      </w:r>
      <w:r>
        <w:rPr>
          <w:rFonts w:hint="eastAsia" w:ascii="仿宋_GB2312" w:hAnsi="仿宋_GB2312" w:eastAsia="仿宋_GB2312" w:cs="仿宋_GB2312"/>
          <w:b/>
          <w:color w:val="auto"/>
          <w:sz w:val="32"/>
          <w:szCs w:val="32"/>
          <w:highlight w:val="none"/>
          <w:lang w:val="en-US" w:eastAsia="zh-CN"/>
        </w:rPr>
        <w:t>三</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通过初审进入会议评审的项目，原则上应由申报</w:t>
      </w:r>
      <w:r>
        <w:rPr>
          <w:rFonts w:hint="eastAsia" w:ascii="仿宋_GB2312" w:hAnsi="仿宋_GB2312" w:eastAsia="仿宋_GB2312" w:cs="仿宋_GB2312"/>
          <w:color w:val="auto"/>
          <w:sz w:val="32"/>
          <w:szCs w:val="32"/>
          <w:highlight w:val="none"/>
          <w:lang w:val="en-US" w:eastAsia="zh-CN"/>
        </w:rPr>
        <w:t>单位的项目负责</w:t>
      </w:r>
      <w:r>
        <w:rPr>
          <w:rFonts w:hint="eastAsia" w:ascii="仿宋_GB2312" w:hAnsi="仿宋_GB2312" w:eastAsia="仿宋_GB2312" w:cs="仿宋_GB2312"/>
          <w:color w:val="auto"/>
          <w:sz w:val="32"/>
          <w:szCs w:val="32"/>
          <w:highlight w:val="none"/>
        </w:rPr>
        <w:t>人到会答辩，不到会答辩的，视为放弃申报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确因不可抗力不能到会答辩的，</w:t>
      </w:r>
      <w:r>
        <w:rPr>
          <w:rFonts w:hint="eastAsia" w:ascii="仿宋_GB2312" w:hAnsi="仿宋_GB2312" w:eastAsia="仿宋_GB2312" w:cs="仿宋_GB2312"/>
          <w:color w:val="auto"/>
          <w:sz w:val="32"/>
          <w:szCs w:val="32"/>
          <w:highlight w:val="none"/>
          <w:lang w:val="en-US" w:eastAsia="zh-CN"/>
        </w:rPr>
        <w:t>应在答辩前一天提交更改答辩人的书面申请（加盖单位公章），经同意后，可委托</w:t>
      </w:r>
      <w:r>
        <w:rPr>
          <w:rFonts w:hint="eastAsia" w:ascii="仿宋_GB2312" w:hAnsi="仿宋_GB2312" w:eastAsia="仿宋_GB2312" w:cs="仿宋_GB2312"/>
          <w:color w:val="auto"/>
          <w:sz w:val="32"/>
          <w:szCs w:val="32"/>
          <w:highlight w:val="none"/>
        </w:rPr>
        <w:t>项目</w:t>
      </w:r>
      <w:r>
        <w:rPr>
          <w:rFonts w:hint="eastAsia" w:ascii="仿宋_GB2312" w:hAnsi="仿宋_GB2312" w:eastAsia="仿宋_GB2312" w:cs="仿宋_GB2312"/>
          <w:color w:val="auto"/>
          <w:sz w:val="32"/>
          <w:szCs w:val="32"/>
          <w:highlight w:val="none"/>
          <w:lang w:val="en-US" w:eastAsia="zh-CN"/>
        </w:rPr>
        <w:t>其他</w:t>
      </w:r>
      <w:r>
        <w:rPr>
          <w:rFonts w:hint="eastAsia" w:ascii="仿宋_GB2312" w:hAnsi="仿宋_GB2312" w:eastAsia="仿宋_GB2312" w:cs="仿宋_GB2312"/>
          <w:color w:val="auto"/>
          <w:sz w:val="32"/>
          <w:szCs w:val="32"/>
          <w:highlight w:val="none"/>
        </w:rPr>
        <w:t>参与者到会答辩。</w:t>
      </w:r>
    </w:p>
    <w:p>
      <w:pPr>
        <w:pStyle w:val="14"/>
        <w:keepNext w:val="0"/>
        <w:keepLines w:val="0"/>
        <w:pageBreakBefore w:val="0"/>
        <w:widowControl w:val="0"/>
        <w:kinsoku/>
        <w:wordWrap/>
        <w:overflowPunct/>
        <w:topLinePunct w:val="0"/>
        <w:autoSpaceDE/>
        <w:autoSpaceDN/>
        <w:bidi w:val="0"/>
        <w:adjustRightInd/>
        <w:snapToGrid w:val="0"/>
        <w:spacing w:line="572" w:lineRule="exact"/>
        <w:ind w:firstLine="629"/>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第二十</w:t>
      </w:r>
      <w:r>
        <w:rPr>
          <w:rFonts w:hint="eastAsia" w:ascii="仿宋_GB2312" w:hAnsi="仿宋_GB2312" w:eastAsia="仿宋_GB2312" w:cs="仿宋_GB2312"/>
          <w:b/>
          <w:color w:val="auto"/>
          <w:sz w:val="32"/>
          <w:szCs w:val="32"/>
          <w:highlight w:val="none"/>
          <w:lang w:val="en-US" w:eastAsia="zh-CN"/>
        </w:rPr>
        <w:t>四</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申报单位</w:t>
      </w:r>
      <w:r>
        <w:rPr>
          <w:rFonts w:hint="eastAsia" w:ascii="仿宋_GB2312" w:hAnsi="仿宋_GB2312" w:eastAsia="仿宋_GB2312" w:cs="仿宋_GB2312"/>
          <w:color w:val="auto"/>
          <w:sz w:val="32"/>
          <w:szCs w:val="32"/>
          <w:highlight w:val="none"/>
        </w:rPr>
        <w:t>参加会议评审入场前，应当对评审专家组名单予以确认。</w:t>
      </w:r>
      <w:r>
        <w:rPr>
          <w:rFonts w:hint="eastAsia" w:ascii="仿宋_GB2312" w:hAnsi="仿宋_GB2312" w:eastAsia="仿宋_GB2312" w:cs="仿宋_GB2312"/>
          <w:color w:val="auto"/>
          <w:sz w:val="32"/>
          <w:szCs w:val="32"/>
          <w:highlight w:val="none"/>
          <w:lang w:val="en-US" w:eastAsia="zh-CN"/>
        </w:rPr>
        <w:t>申报单位</w:t>
      </w:r>
      <w:r>
        <w:rPr>
          <w:rFonts w:hint="eastAsia" w:ascii="仿宋_GB2312" w:hAnsi="仿宋_GB2312" w:eastAsia="仿宋_GB2312" w:cs="仿宋_GB2312"/>
          <w:color w:val="auto"/>
          <w:sz w:val="32"/>
          <w:szCs w:val="32"/>
          <w:highlight w:val="none"/>
        </w:rPr>
        <w:t>如有充足理由申请专家回避的，</w:t>
      </w:r>
      <w:r>
        <w:rPr>
          <w:rFonts w:hint="eastAsia" w:ascii="仿宋_GB2312" w:hAnsi="仿宋_GB2312" w:eastAsia="仿宋_GB2312" w:cs="仿宋_GB2312"/>
          <w:color w:val="auto"/>
          <w:sz w:val="32"/>
          <w:szCs w:val="32"/>
          <w:highlight w:val="none"/>
          <w:lang w:val="en-US" w:eastAsia="zh-CN"/>
        </w:rPr>
        <w:t>可向评审组织方提出正式申请，由评审组织方会同评审专家组集体研究决定</w:t>
      </w:r>
      <w:r>
        <w:rPr>
          <w:rFonts w:hint="eastAsia" w:ascii="仿宋_GB2312" w:hAnsi="仿宋_GB2312" w:eastAsia="仿宋_GB2312" w:cs="仿宋_GB2312"/>
          <w:color w:val="auto"/>
          <w:sz w:val="32"/>
          <w:szCs w:val="32"/>
          <w:highlight w:val="none"/>
        </w:rPr>
        <w:t>是否予以回避。</w:t>
      </w:r>
      <w:r>
        <w:rPr>
          <w:rFonts w:hint="eastAsia" w:ascii="仿宋_GB2312" w:hAnsi="仿宋_GB2312" w:eastAsia="仿宋_GB2312" w:cs="仿宋_GB2312"/>
          <w:color w:val="auto"/>
          <w:sz w:val="32"/>
          <w:szCs w:val="32"/>
          <w:highlight w:val="none"/>
          <w:lang w:val="en-US" w:eastAsia="zh-CN"/>
        </w:rPr>
        <w:t>申报单位</w:t>
      </w:r>
      <w:r>
        <w:rPr>
          <w:rFonts w:hint="eastAsia" w:ascii="仿宋_GB2312" w:hAnsi="仿宋_GB2312" w:eastAsia="仿宋_GB2312" w:cs="仿宋_GB2312"/>
          <w:color w:val="auto"/>
          <w:sz w:val="32"/>
          <w:szCs w:val="32"/>
          <w:highlight w:val="none"/>
        </w:rPr>
        <w:t>确认后方可参加会议评审。</w:t>
      </w:r>
    </w:p>
    <w:p>
      <w:pPr>
        <w:pStyle w:val="14"/>
        <w:keepNext w:val="0"/>
        <w:keepLines w:val="0"/>
        <w:pageBreakBefore w:val="0"/>
        <w:widowControl w:val="0"/>
        <w:kinsoku/>
        <w:wordWrap/>
        <w:overflowPunct/>
        <w:topLinePunct w:val="0"/>
        <w:autoSpaceDE/>
        <w:autoSpaceDN/>
        <w:bidi w:val="0"/>
        <w:adjustRightInd/>
        <w:snapToGrid w:val="0"/>
        <w:spacing w:line="572" w:lineRule="exact"/>
        <w:ind w:firstLine="629"/>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第二十</w:t>
      </w:r>
      <w:r>
        <w:rPr>
          <w:rFonts w:hint="eastAsia" w:ascii="仿宋_GB2312" w:hAnsi="仿宋_GB2312" w:eastAsia="仿宋_GB2312" w:cs="仿宋_GB2312"/>
          <w:b/>
          <w:color w:val="auto"/>
          <w:sz w:val="32"/>
          <w:szCs w:val="32"/>
          <w:highlight w:val="none"/>
          <w:lang w:val="en-US" w:eastAsia="zh-CN"/>
        </w:rPr>
        <w:t>五</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提交会议评审的项目申报材料中，经费报价不得超过指南条目所列的经费限额，否则取消会议评审资格。</w:t>
      </w:r>
    </w:p>
    <w:p>
      <w:pPr>
        <w:pStyle w:val="14"/>
        <w:keepNext w:val="0"/>
        <w:keepLines w:val="0"/>
        <w:pageBreakBefore w:val="0"/>
        <w:widowControl w:val="0"/>
        <w:kinsoku/>
        <w:wordWrap/>
        <w:overflowPunct/>
        <w:topLinePunct w:val="0"/>
        <w:autoSpaceDE/>
        <w:autoSpaceDN/>
        <w:bidi w:val="0"/>
        <w:adjustRightInd/>
        <w:snapToGrid w:val="0"/>
        <w:spacing w:line="572" w:lineRule="exact"/>
        <w:ind w:firstLine="629"/>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第二十</w:t>
      </w:r>
      <w:r>
        <w:rPr>
          <w:rFonts w:hint="eastAsia" w:ascii="仿宋_GB2312" w:hAnsi="仿宋_GB2312" w:eastAsia="仿宋_GB2312" w:cs="仿宋_GB2312"/>
          <w:b/>
          <w:color w:val="auto"/>
          <w:sz w:val="32"/>
          <w:szCs w:val="32"/>
          <w:highlight w:val="none"/>
          <w:lang w:val="en-US" w:eastAsia="zh-CN"/>
        </w:rPr>
        <w:t>六</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会议评审程序包括：申请单位汇报、提问与答辩、专家打分等。</w:t>
      </w:r>
    </w:p>
    <w:p>
      <w:pPr>
        <w:keepNext w:val="0"/>
        <w:keepLines w:val="0"/>
        <w:pageBreakBefore w:val="0"/>
        <w:widowControl w:val="0"/>
        <w:kinsoku/>
        <w:wordWrap/>
        <w:overflowPunct/>
        <w:topLinePunct w:val="0"/>
        <w:autoSpaceDE/>
        <w:autoSpaceDN/>
        <w:bidi w:val="0"/>
        <w:adjustRightInd/>
        <w:spacing w:line="572" w:lineRule="exact"/>
        <w:ind w:firstLine="63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第二十</w:t>
      </w:r>
      <w:r>
        <w:rPr>
          <w:rFonts w:hint="eastAsia" w:ascii="仿宋_GB2312" w:hAnsi="仿宋_GB2312" w:eastAsia="仿宋_GB2312" w:cs="仿宋_GB2312"/>
          <w:b/>
          <w:color w:val="auto"/>
          <w:sz w:val="32"/>
          <w:szCs w:val="32"/>
          <w:highlight w:val="none"/>
          <w:lang w:val="en-US" w:eastAsia="zh-CN"/>
        </w:rPr>
        <w:t>七</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color w:val="auto"/>
          <w:sz w:val="32"/>
          <w:szCs w:val="32"/>
          <w:highlight w:val="none"/>
        </w:rPr>
        <w:t>会议评审专家评分表设技术和价格两部分，满分100分。其中，技术分90分，价格分10分。</w:t>
      </w:r>
    </w:p>
    <w:p>
      <w:pPr>
        <w:keepNext w:val="0"/>
        <w:keepLines w:val="0"/>
        <w:pageBreakBefore w:val="0"/>
        <w:widowControl w:val="0"/>
        <w:kinsoku/>
        <w:wordWrap/>
        <w:overflowPunct/>
        <w:topLinePunct w:val="0"/>
        <w:autoSpaceDE/>
        <w:autoSpaceDN/>
        <w:bidi w:val="0"/>
        <w:adjustRightInd/>
        <w:spacing w:line="572" w:lineRule="exact"/>
        <w:ind w:firstLine="63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第二十</w:t>
      </w:r>
      <w:r>
        <w:rPr>
          <w:rFonts w:hint="eastAsia" w:ascii="仿宋_GB2312" w:hAnsi="仿宋_GB2312" w:eastAsia="仿宋_GB2312" w:cs="仿宋_GB2312"/>
          <w:b/>
          <w:color w:val="auto"/>
          <w:sz w:val="32"/>
          <w:szCs w:val="32"/>
          <w:highlight w:val="none"/>
          <w:lang w:val="en-US" w:eastAsia="zh-CN"/>
        </w:rPr>
        <w:t>八</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color w:val="auto"/>
          <w:sz w:val="32"/>
          <w:szCs w:val="32"/>
          <w:highlight w:val="none"/>
        </w:rPr>
        <w:t>会议评审技术分主要包括军事需求与研究现状、研究目标技术指标、研究方案途径、进度成果应用、研究条件五部分。其中，军事需求与研究现状5分；研究目标技术指标25分（研究目标5分、研究内容和关键技术10分、技术指标10分）；研究方案途径30分（总体方案15分、技术创新性15分)；进度成果应用15分（研究进度5分、成果考核方式5分、预期应用前景5分）；研究条件15分（技术基础10分、保障条件5分)。技术分由所有技术专家独立打分，技术平均分为去掉一个最高分、去掉一个最低分后的平均值。</w:t>
      </w:r>
    </w:p>
    <w:p>
      <w:pPr>
        <w:keepNext w:val="0"/>
        <w:keepLines w:val="0"/>
        <w:pageBreakBefore w:val="0"/>
        <w:widowControl w:val="0"/>
        <w:kinsoku/>
        <w:wordWrap/>
        <w:overflowPunct/>
        <w:topLinePunct w:val="0"/>
        <w:autoSpaceDE/>
        <w:autoSpaceDN/>
        <w:bidi w:val="0"/>
        <w:adjustRightInd/>
        <w:spacing w:line="572" w:lineRule="exact"/>
        <w:ind w:firstLine="63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w:t>
      </w:r>
      <w:r>
        <w:rPr>
          <w:rFonts w:hint="eastAsia" w:ascii="仿宋_GB2312" w:hAnsi="仿宋_GB2312" w:eastAsia="仿宋_GB2312" w:cs="仿宋_GB2312"/>
          <w:b/>
          <w:color w:val="auto"/>
          <w:sz w:val="32"/>
          <w:szCs w:val="32"/>
          <w:highlight w:val="none"/>
          <w:lang w:val="en-US" w:eastAsia="zh-CN"/>
        </w:rPr>
        <w:t>二十九</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color w:val="auto"/>
          <w:sz w:val="32"/>
          <w:szCs w:val="32"/>
          <w:highlight w:val="none"/>
        </w:rPr>
        <w:t>会议评审价格分包括合理性（4分）和经济可行性（6分）两部分。合理性分值由所有技术专家和价格专家独立打分，最终结果为去掉一个最高分、去掉一个最低分后的平均值。经济可行性分值由价格专家根据公式计算给出，具体计算方式：以</w:t>
      </w:r>
      <w:r>
        <w:rPr>
          <w:rFonts w:hint="eastAsia" w:ascii="仿宋_GB2312" w:hAnsi="仿宋_GB2312" w:eastAsia="仿宋_GB2312" w:cs="仿宋_GB2312"/>
          <w:color w:val="auto"/>
          <w:sz w:val="32"/>
          <w:szCs w:val="32"/>
          <w:highlight w:val="none"/>
          <w:lang w:val="en-US" w:eastAsia="zh-CN"/>
        </w:rPr>
        <w:t>技术分最高单位的报价为评审基准价（如技术分最高的单位为2家及以上，比较</w:t>
      </w:r>
      <w:r>
        <w:rPr>
          <w:rFonts w:hint="eastAsia" w:ascii="仿宋_GB2312" w:hAnsi="仿宋_GB2312" w:eastAsia="仿宋_GB2312" w:cs="仿宋_GB2312"/>
          <w:color w:val="auto"/>
          <w:sz w:val="32"/>
          <w:szCs w:val="32"/>
          <w:highlight w:val="none"/>
        </w:rPr>
        <w:t>研究方案途径</w:t>
      </w:r>
      <w:r>
        <w:rPr>
          <w:rFonts w:hint="eastAsia" w:ascii="仿宋_GB2312" w:hAnsi="仿宋_GB2312" w:eastAsia="仿宋_GB2312" w:cs="仿宋_GB2312"/>
          <w:color w:val="auto"/>
          <w:sz w:val="32"/>
          <w:szCs w:val="32"/>
          <w:highlight w:val="none"/>
          <w:lang w:val="en-US" w:eastAsia="zh-CN"/>
        </w:rPr>
        <w:t>分值；如技术分最高的单位价格合理性分值小于2分，将按照技术分由高至低顺次，选取下一名次单位报价作为评审基准价）。</w:t>
      </w:r>
      <w:r>
        <w:rPr>
          <w:rFonts w:hint="eastAsia" w:ascii="仿宋_GB2312" w:hAnsi="仿宋_GB2312" w:eastAsia="仿宋_GB2312" w:cs="仿宋_GB2312"/>
          <w:color w:val="auto"/>
          <w:sz w:val="32"/>
          <w:szCs w:val="32"/>
          <w:highlight w:val="none"/>
        </w:rPr>
        <w:t>评审基准价得分</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分，各单位报价</w:t>
      </w:r>
      <w:r>
        <w:rPr>
          <w:rFonts w:hint="eastAsia" w:ascii="仿宋_GB2312" w:hAnsi="仿宋_GB2312" w:eastAsia="仿宋_GB2312" w:cs="仿宋_GB2312"/>
          <w:color w:val="auto"/>
          <w:spacing w:val="-6"/>
          <w:sz w:val="32"/>
          <w:szCs w:val="32"/>
          <w:highlight w:val="none"/>
        </w:rPr>
        <w:t>与基准价进行比较，比基准价高</w:t>
      </w:r>
      <w:r>
        <w:rPr>
          <w:rFonts w:hint="eastAsia" w:ascii="仿宋_GB2312" w:hAnsi="仿宋_GB2312" w:eastAsia="仿宋_GB2312" w:cs="仿宋_GB2312"/>
          <w:color w:val="auto"/>
          <w:spacing w:val="-6"/>
          <w:sz w:val="32"/>
          <w:szCs w:val="32"/>
          <w:highlight w:val="none"/>
          <w:lang w:val="en-US" w:eastAsia="zh-CN"/>
        </w:rPr>
        <w:t>6</w:t>
      </w:r>
      <w:r>
        <w:rPr>
          <w:rFonts w:hint="eastAsia" w:ascii="仿宋_GB2312" w:hAnsi="仿宋_GB2312" w:eastAsia="仿宋_GB2312" w:cs="仿宋_GB2312"/>
          <w:color w:val="auto"/>
          <w:spacing w:val="-6"/>
          <w:sz w:val="32"/>
          <w:szCs w:val="32"/>
          <w:highlight w:val="none"/>
        </w:rPr>
        <w:t>0%（含）以内，每1%（含）减0.</w:t>
      </w:r>
      <w:r>
        <w:rPr>
          <w:rFonts w:hint="eastAsia" w:ascii="仿宋_GB2312" w:hAnsi="仿宋_GB2312" w:eastAsia="仿宋_GB2312" w:cs="仿宋_GB2312"/>
          <w:color w:val="auto"/>
          <w:spacing w:val="-6"/>
          <w:sz w:val="32"/>
          <w:szCs w:val="32"/>
          <w:highlight w:val="none"/>
          <w:lang w:val="en-US" w:eastAsia="zh-CN"/>
        </w:rPr>
        <w:t>05</w:t>
      </w:r>
      <w:r>
        <w:rPr>
          <w:rFonts w:hint="eastAsia" w:ascii="仿宋_GB2312" w:hAnsi="仿宋_GB2312" w:eastAsia="仿宋_GB2312" w:cs="仿宋_GB2312"/>
          <w:color w:val="auto"/>
          <w:spacing w:val="-6"/>
          <w:sz w:val="32"/>
          <w:szCs w:val="32"/>
          <w:highlight w:val="none"/>
        </w:rPr>
        <w:t>分；比基准价低</w:t>
      </w:r>
      <w:r>
        <w:rPr>
          <w:rFonts w:hint="eastAsia" w:ascii="仿宋_GB2312" w:hAnsi="仿宋_GB2312" w:eastAsia="仿宋_GB2312" w:cs="仿宋_GB2312"/>
          <w:color w:val="auto"/>
          <w:spacing w:val="-6"/>
          <w:sz w:val="32"/>
          <w:szCs w:val="32"/>
          <w:highlight w:val="none"/>
          <w:lang w:val="en-US" w:eastAsia="zh-CN"/>
        </w:rPr>
        <w:t>60</w:t>
      </w:r>
      <w:r>
        <w:rPr>
          <w:rFonts w:hint="eastAsia" w:ascii="仿宋_GB2312" w:hAnsi="仿宋_GB2312" w:eastAsia="仿宋_GB2312" w:cs="仿宋_GB2312"/>
          <w:color w:val="auto"/>
          <w:spacing w:val="-6"/>
          <w:sz w:val="32"/>
          <w:szCs w:val="32"/>
          <w:highlight w:val="none"/>
        </w:rPr>
        <w:t>%（含）以内，每1%（含）加0.</w:t>
      </w:r>
      <w:r>
        <w:rPr>
          <w:rFonts w:hint="eastAsia" w:ascii="仿宋_GB2312" w:hAnsi="仿宋_GB2312" w:eastAsia="仿宋_GB2312" w:cs="仿宋_GB2312"/>
          <w:color w:val="auto"/>
          <w:spacing w:val="-6"/>
          <w:sz w:val="32"/>
          <w:szCs w:val="32"/>
          <w:highlight w:val="none"/>
          <w:lang w:val="en-US" w:eastAsia="zh-CN"/>
        </w:rPr>
        <w:t>05</w:t>
      </w:r>
      <w:r>
        <w:rPr>
          <w:rFonts w:hint="eastAsia" w:ascii="仿宋_GB2312" w:hAnsi="仿宋_GB2312" w:eastAsia="仿宋_GB2312" w:cs="仿宋_GB2312"/>
          <w:color w:val="auto"/>
          <w:spacing w:val="-6"/>
          <w:sz w:val="32"/>
          <w:szCs w:val="32"/>
          <w:highlight w:val="none"/>
        </w:rPr>
        <w:t>分；</w:t>
      </w:r>
      <w:r>
        <w:rPr>
          <w:rFonts w:hint="eastAsia" w:ascii="仿宋_GB2312" w:hAnsi="仿宋_GB2312" w:eastAsia="仿宋_GB2312" w:cs="仿宋_GB2312"/>
          <w:color w:val="auto"/>
          <w:sz w:val="32"/>
          <w:szCs w:val="32"/>
          <w:highlight w:val="none"/>
          <w:lang w:val="en-US" w:eastAsia="zh-CN"/>
        </w:rPr>
        <w:t>比基准价低60%以上，加3分</w:t>
      </w:r>
      <w:r>
        <w:rPr>
          <w:rFonts w:hint="eastAsia" w:ascii="仿宋_GB2312" w:hAnsi="仿宋_GB2312" w:eastAsia="仿宋_GB2312" w:cs="仿宋_GB2312"/>
          <w:color w:val="auto"/>
          <w:sz w:val="32"/>
          <w:szCs w:val="32"/>
          <w:highlight w:val="none"/>
        </w:rPr>
        <w:t>；最后得分即为经济可行性得分。价格分最终结果为经评审得出的合理性分值与经济可行性分值之和。</w:t>
      </w:r>
    </w:p>
    <w:p>
      <w:pPr>
        <w:keepNext w:val="0"/>
        <w:keepLines w:val="0"/>
        <w:pageBreakBefore w:val="0"/>
        <w:widowControl w:val="0"/>
        <w:kinsoku/>
        <w:wordWrap/>
        <w:overflowPunct/>
        <w:topLinePunct w:val="0"/>
        <w:autoSpaceDE/>
        <w:autoSpaceDN/>
        <w:bidi w:val="0"/>
        <w:adjustRightInd/>
        <w:spacing w:line="572" w:lineRule="exact"/>
        <w:ind w:firstLine="63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w:t>
      </w:r>
      <w:r>
        <w:rPr>
          <w:rFonts w:hint="eastAsia" w:ascii="仿宋_GB2312" w:hAnsi="仿宋_GB2312" w:eastAsia="仿宋_GB2312" w:cs="仿宋_GB2312"/>
          <w:b/>
          <w:color w:val="auto"/>
          <w:sz w:val="32"/>
          <w:szCs w:val="32"/>
          <w:highlight w:val="none"/>
          <w:lang w:val="en-US" w:eastAsia="zh-CN"/>
        </w:rPr>
        <w:t>三十</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color w:val="auto"/>
          <w:sz w:val="32"/>
          <w:szCs w:val="32"/>
          <w:highlight w:val="none"/>
          <w:lang w:eastAsia="zh-CN"/>
        </w:rPr>
        <w:t>最终</w:t>
      </w:r>
      <w:r>
        <w:rPr>
          <w:rFonts w:hint="eastAsia" w:ascii="仿宋_GB2312" w:hAnsi="仿宋_GB2312" w:eastAsia="仿宋_GB2312" w:cs="仿宋_GB2312"/>
          <w:color w:val="auto"/>
          <w:sz w:val="32"/>
          <w:szCs w:val="32"/>
          <w:highlight w:val="none"/>
        </w:rPr>
        <w:t>入选单位以计票方式确定。每个技术专家的技术分加上</w:t>
      </w:r>
      <w:r>
        <w:rPr>
          <w:rFonts w:hint="eastAsia" w:ascii="仿宋_GB2312" w:hAnsi="仿宋_GB2312" w:eastAsia="仿宋_GB2312" w:cs="仿宋_GB2312"/>
          <w:color w:val="auto"/>
          <w:sz w:val="32"/>
          <w:szCs w:val="32"/>
          <w:highlight w:val="none"/>
          <w:lang w:eastAsia="zh-CN"/>
        </w:rPr>
        <w:t>该</w:t>
      </w:r>
      <w:r>
        <w:rPr>
          <w:rFonts w:hint="eastAsia" w:ascii="仿宋_GB2312" w:hAnsi="仿宋_GB2312" w:eastAsia="仿宋_GB2312" w:cs="仿宋_GB2312"/>
          <w:color w:val="auto"/>
          <w:sz w:val="32"/>
          <w:szCs w:val="32"/>
          <w:highlight w:val="none"/>
        </w:rPr>
        <w:t>单位价格分为此专家对</w:t>
      </w:r>
      <w:r>
        <w:rPr>
          <w:rFonts w:hint="eastAsia" w:ascii="仿宋_GB2312" w:hAnsi="仿宋_GB2312" w:eastAsia="仿宋_GB2312" w:cs="仿宋_GB2312"/>
          <w:color w:val="auto"/>
          <w:sz w:val="32"/>
          <w:szCs w:val="32"/>
          <w:highlight w:val="none"/>
          <w:lang w:eastAsia="zh-CN"/>
        </w:rPr>
        <w:t>该</w:t>
      </w:r>
      <w:r>
        <w:rPr>
          <w:rFonts w:hint="eastAsia" w:ascii="仿宋_GB2312" w:hAnsi="仿宋_GB2312" w:eastAsia="仿宋_GB2312" w:cs="仿宋_GB2312"/>
          <w:color w:val="auto"/>
          <w:sz w:val="32"/>
          <w:szCs w:val="32"/>
          <w:highlight w:val="none"/>
        </w:rPr>
        <w:t>单位的计票有效分；此专家对所有单位的计票有效分由高到低排序，按照拟支持单位数给排序较高的单位各计一票（如指南拟支持2家单位，则每个专家打分排名第1、2名的2个单位各计一票）</w:t>
      </w:r>
      <w:r>
        <w:rPr>
          <w:rFonts w:hint="eastAsia" w:ascii="仿宋_GB2312" w:hAnsi="仿宋_GB2312" w:eastAsia="仿宋_GB2312" w:cs="仿宋_GB2312"/>
          <w:color w:val="auto"/>
          <w:sz w:val="32"/>
          <w:szCs w:val="32"/>
          <w:highlight w:val="none"/>
          <w:lang w:eastAsia="zh-CN"/>
        </w:rPr>
        <w:t>。所有</w:t>
      </w:r>
      <w:r>
        <w:rPr>
          <w:rFonts w:hint="eastAsia" w:ascii="仿宋_GB2312" w:hAnsi="仿宋_GB2312" w:eastAsia="仿宋_GB2312" w:cs="仿宋_GB2312"/>
          <w:color w:val="auto"/>
          <w:sz w:val="32"/>
          <w:szCs w:val="32"/>
          <w:highlight w:val="none"/>
        </w:rPr>
        <w:t>申报单位按单位得票数由高到低排序，</w:t>
      </w:r>
      <w:r>
        <w:rPr>
          <w:rFonts w:hint="eastAsia" w:ascii="仿宋_GB2312" w:hAnsi="仿宋_GB2312" w:eastAsia="仿宋_GB2312" w:cs="仿宋_GB2312"/>
          <w:color w:val="auto"/>
          <w:sz w:val="32"/>
          <w:szCs w:val="32"/>
          <w:highlight w:val="none"/>
          <w:lang w:eastAsia="zh-CN"/>
        </w:rPr>
        <w:t>并</w:t>
      </w:r>
      <w:r>
        <w:rPr>
          <w:rFonts w:hint="eastAsia" w:ascii="仿宋_GB2312" w:hAnsi="仿宋_GB2312" w:eastAsia="仿宋_GB2312" w:cs="仿宋_GB2312"/>
          <w:color w:val="auto"/>
          <w:sz w:val="32"/>
          <w:szCs w:val="32"/>
          <w:highlight w:val="none"/>
        </w:rPr>
        <w:t>按拟支持单位数由高到低确定入选单位及排名。若入选单位的技术平均分低于75分，则由评审组对研究方向符合度、技术可行性等进行</w:t>
      </w:r>
      <w:r>
        <w:rPr>
          <w:rFonts w:hint="eastAsia" w:ascii="仿宋_GB2312" w:hAnsi="仿宋_GB2312" w:eastAsia="仿宋_GB2312" w:cs="仿宋_GB2312"/>
          <w:color w:val="auto"/>
          <w:sz w:val="32"/>
          <w:szCs w:val="32"/>
          <w:highlight w:val="none"/>
          <w:lang w:val="en-US" w:eastAsia="zh-CN"/>
        </w:rPr>
        <w:t>集体审议</w:t>
      </w:r>
      <w:r>
        <w:rPr>
          <w:rFonts w:hint="eastAsia" w:ascii="仿宋_GB2312" w:hAnsi="仿宋_GB2312" w:eastAsia="仿宋_GB2312" w:cs="仿宋_GB2312"/>
          <w:color w:val="auto"/>
          <w:sz w:val="32"/>
          <w:szCs w:val="32"/>
          <w:highlight w:val="none"/>
        </w:rPr>
        <w:t>，提出是否支持的意见。</w:t>
      </w:r>
    </w:p>
    <w:p>
      <w:pPr>
        <w:keepNext w:val="0"/>
        <w:keepLines w:val="0"/>
        <w:pageBreakBefore w:val="0"/>
        <w:widowControl w:val="0"/>
        <w:kinsoku/>
        <w:wordWrap/>
        <w:overflowPunct/>
        <w:topLinePunct w:val="0"/>
        <w:autoSpaceDE/>
        <w:autoSpaceDN/>
        <w:bidi w:val="0"/>
        <w:adjustRightInd/>
        <w:spacing w:line="572" w:lineRule="exact"/>
        <w:ind w:firstLine="63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当一个专家对多家单位（排序名次在拟支持单位数范围内）的计票有效分相同时，按技术分值由高到低排序；技术分值仍相同时，按技术创新性评分由高到低排序；技术创新性评分仍相同时，请专家</w:t>
      </w:r>
      <w:r>
        <w:rPr>
          <w:rFonts w:hint="eastAsia" w:ascii="仿宋_GB2312" w:hAnsi="仿宋_GB2312" w:eastAsia="仿宋_GB2312" w:cs="仿宋_GB2312"/>
          <w:color w:val="auto"/>
          <w:sz w:val="32"/>
          <w:szCs w:val="32"/>
          <w:highlight w:val="none"/>
          <w:lang w:eastAsia="zh-CN"/>
        </w:rPr>
        <w:t>本人</w:t>
      </w:r>
      <w:r>
        <w:rPr>
          <w:rFonts w:hint="eastAsia" w:ascii="仿宋_GB2312" w:hAnsi="仿宋_GB2312" w:eastAsia="仿宋_GB2312" w:cs="仿宋_GB2312"/>
          <w:color w:val="auto"/>
          <w:sz w:val="32"/>
          <w:szCs w:val="32"/>
          <w:highlight w:val="none"/>
        </w:rPr>
        <w:t>决定单位排序</w:t>
      </w:r>
      <w:r>
        <w:rPr>
          <w:rFonts w:hint="eastAsia" w:ascii="仿宋_GB2312" w:hAnsi="仿宋_GB2312" w:eastAsia="仿宋_GB2312" w:cs="仿宋_GB2312"/>
          <w:color w:val="auto"/>
          <w:sz w:val="32"/>
          <w:szCs w:val="32"/>
          <w:highlight w:val="none"/>
          <w:lang w:eastAsia="zh-CN"/>
        </w:rPr>
        <w:t>，并提供书面意见</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pacing w:line="572" w:lineRule="exact"/>
        <w:ind w:firstLine="632"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当多家单位（排序名次在拟支持单位数范围内）的得票数相同时，</w:t>
      </w:r>
      <w:r>
        <w:rPr>
          <w:rFonts w:hint="eastAsia" w:ascii="仿宋_GB2312" w:hAnsi="仿宋_GB2312" w:eastAsia="仿宋_GB2312" w:cs="仿宋_GB2312"/>
          <w:color w:val="auto"/>
          <w:sz w:val="32"/>
          <w:szCs w:val="32"/>
          <w:highlight w:val="none"/>
          <w:lang w:val="en-US" w:eastAsia="zh-CN"/>
        </w:rPr>
        <w:t>核查单位是否纳入评审“灰名单”，按以下规则确定排序：</w:t>
      </w:r>
    </w:p>
    <w:p>
      <w:pPr>
        <w:keepNext w:val="0"/>
        <w:keepLines w:val="0"/>
        <w:pageBreakBefore w:val="0"/>
        <w:widowControl w:val="0"/>
        <w:kinsoku/>
        <w:wordWrap/>
        <w:overflowPunct/>
        <w:topLinePunct w:val="0"/>
        <w:autoSpaceDE/>
        <w:autoSpaceDN/>
        <w:bidi w:val="0"/>
        <w:adjustRightInd/>
        <w:spacing w:line="572" w:lineRule="exact"/>
        <w:ind w:firstLine="632"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（一）当所有单位均为“灰名单”内单位或均不为名单内单位</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按技术平均分由高到低排序</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技术平均分仍相同时，按技术创新性评分的平均分由高到低排序</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技术创新性评分的平均分仍相同时，请评审专家组讨论确定入选单位意见</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72" w:lineRule="exact"/>
        <w:ind w:firstLine="63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（二）当部分单位在“灰名单”中，名单外单位数大于等于项目拟支持家数，则“灰名单”内单位直接淘汰。名单外单位数小于拟支持家数，则名单外单位优先支持，名单内单位按上述原则排序。</w:t>
      </w:r>
    </w:p>
    <w:p>
      <w:pPr>
        <w:keepNext w:val="0"/>
        <w:keepLines w:val="0"/>
        <w:pageBreakBefore w:val="0"/>
        <w:widowControl w:val="0"/>
        <w:kinsoku/>
        <w:wordWrap/>
        <w:overflowPunct/>
        <w:topLinePunct w:val="0"/>
        <w:autoSpaceDE/>
        <w:autoSpaceDN/>
        <w:bidi w:val="0"/>
        <w:adjustRightInd/>
        <w:spacing w:line="572" w:lineRule="exact"/>
        <w:ind w:firstLine="632"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color w:val="auto"/>
          <w:sz w:val="32"/>
          <w:szCs w:val="32"/>
          <w:highlight w:val="none"/>
        </w:rPr>
        <w:t>第</w:t>
      </w:r>
      <w:r>
        <w:rPr>
          <w:rFonts w:hint="eastAsia" w:ascii="仿宋_GB2312" w:hAnsi="仿宋_GB2312" w:eastAsia="仿宋_GB2312" w:cs="仿宋_GB2312"/>
          <w:b/>
          <w:color w:val="auto"/>
          <w:sz w:val="32"/>
          <w:szCs w:val="32"/>
          <w:highlight w:val="none"/>
          <w:lang w:val="en-US" w:eastAsia="zh-CN"/>
        </w:rPr>
        <w:t>三十一</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b w:val="0"/>
          <w:bCs/>
          <w:color w:val="auto"/>
          <w:sz w:val="32"/>
          <w:szCs w:val="32"/>
          <w:highlight w:val="none"/>
          <w:lang w:val="en-US" w:eastAsia="zh-CN"/>
        </w:rPr>
        <w:t>对进入会评单位数量多于拟支持单位数量的指南条目，按排序确定候选承研单位。</w:t>
      </w:r>
      <w:r>
        <w:rPr>
          <w:rFonts w:hint="eastAsia" w:ascii="仿宋_GB2312" w:hAnsi="仿宋_GB2312" w:eastAsia="仿宋_GB2312" w:cs="仿宋_GB2312"/>
          <w:color w:val="auto"/>
          <w:sz w:val="32"/>
          <w:szCs w:val="32"/>
          <w:highlight w:val="none"/>
        </w:rPr>
        <w:t>拟支持多个单位的指南条目中，</w:t>
      </w:r>
      <w:r>
        <w:rPr>
          <w:rFonts w:hint="eastAsia" w:ascii="仿宋_GB2312" w:hAnsi="仿宋_GB2312" w:eastAsia="仿宋_GB2312" w:cs="仿宋_GB2312"/>
          <w:color w:val="auto"/>
          <w:sz w:val="32"/>
          <w:szCs w:val="32"/>
          <w:highlight w:val="none"/>
          <w:lang w:eastAsia="zh-CN"/>
        </w:rPr>
        <w:t>若通过评审的</w:t>
      </w:r>
      <w:r>
        <w:rPr>
          <w:rFonts w:hint="eastAsia" w:ascii="仿宋_GB2312" w:hAnsi="仿宋_GB2312" w:eastAsia="仿宋_GB2312" w:cs="仿宋_GB2312"/>
          <w:color w:val="auto"/>
          <w:sz w:val="32"/>
          <w:szCs w:val="32"/>
          <w:highlight w:val="none"/>
        </w:rPr>
        <w:t>非第一名单位报价</w:t>
      </w:r>
      <w:r>
        <w:rPr>
          <w:rFonts w:hint="eastAsia" w:ascii="仿宋_GB2312" w:hAnsi="仿宋_GB2312" w:eastAsia="仿宋_GB2312" w:cs="仿宋_GB2312"/>
          <w:color w:val="auto"/>
          <w:sz w:val="32"/>
          <w:szCs w:val="32"/>
          <w:highlight w:val="none"/>
          <w:lang w:eastAsia="zh-CN"/>
        </w:rPr>
        <w:t>低于排名靠前的单位报价，则中标价格执行各自报价；若出现通过评审的</w:t>
      </w:r>
      <w:r>
        <w:rPr>
          <w:rFonts w:hint="eastAsia" w:ascii="仿宋_GB2312" w:hAnsi="仿宋_GB2312" w:eastAsia="仿宋_GB2312" w:cs="仿宋_GB2312"/>
          <w:color w:val="auto"/>
          <w:sz w:val="32"/>
          <w:szCs w:val="32"/>
          <w:highlight w:val="none"/>
        </w:rPr>
        <w:t>非第一名单位报价</w:t>
      </w:r>
      <w:r>
        <w:rPr>
          <w:rFonts w:hint="eastAsia" w:ascii="仿宋_GB2312" w:hAnsi="仿宋_GB2312" w:eastAsia="仿宋_GB2312" w:cs="仿宋_GB2312"/>
          <w:color w:val="auto"/>
          <w:sz w:val="32"/>
          <w:szCs w:val="32"/>
          <w:highlight w:val="none"/>
          <w:lang w:eastAsia="zh-CN"/>
        </w:rPr>
        <w:t>高于排名靠前的单位报价情况，则该单位经费调整至与排名最接近单位保持一致（即排名靠后的单位报价不得高于排名靠前的所有单位报价）。</w:t>
      </w:r>
    </w:p>
    <w:p>
      <w:pPr>
        <w:pStyle w:val="14"/>
        <w:keepNext w:val="0"/>
        <w:keepLines w:val="0"/>
        <w:pageBreakBefore w:val="0"/>
        <w:widowControl w:val="0"/>
        <w:kinsoku/>
        <w:wordWrap/>
        <w:overflowPunct/>
        <w:topLinePunct w:val="0"/>
        <w:autoSpaceDE/>
        <w:autoSpaceDN/>
        <w:bidi w:val="0"/>
        <w:adjustRightInd/>
        <w:snapToGrid w:val="0"/>
        <w:spacing w:line="572" w:lineRule="exact"/>
        <w:ind w:firstLine="629"/>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color w:val="auto"/>
          <w:sz w:val="32"/>
          <w:szCs w:val="32"/>
          <w:highlight w:val="none"/>
        </w:rPr>
        <w:t>第</w:t>
      </w:r>
      <w:r>
        <w:rPr>
          <w:rFonts w:hint="eastAsia" w:ascii="仿宋_GB2312" w:hAnsi="仿宋_GB2312" w:eastAsia="仿宋_GB2312" w:cs="仿宋_GB2312"/>
          <w:b/>
          <w:color w:val="auto"/>
          <w:sz w:val="32"/>
          <w:szCs w:val="32"/>
          <w:highlight w:val="none"/>
          <w:lang w:val="en-US" w:eastAsia="zh-CN"/>
        </w:rPr>
        <w:t>三十二</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b w:val="0"/>
          <w:bCs/>
          <w:color w:val="auto"/>
          <w:sz w:val="32"/>
          <w:szCs w:val="32"/>
          <w:highlight w:val="none"/>
        </w:rPr>
        <w:t>对</w:t>
      </w:r>
      <w:r>
        <w:rPr>
          <w:rFonts w:hint="eastAsia" w:ascii="仿宋_GB2312" w:hAnsi="仿宋_GB2312" w:eastAsia="仿宋_GB2312" w:cs="仿宋_GB2312"/>
          <w:b w:val="0"/>
          <w:bCs/>
          <w:color w:val="auto"/>
          <w:sz w:val="32"/>
          <w:szCs w:val="32"/>
          <w:highlight w:val="none"/>
          <w:lang w:val="en-US" w:eastAsia="zh-CN"/>
        </w:rPr>
        <w:t>进入会评单位数量</w:t>
      </w:r>
      <w:r>
        <w:rPr>
          <w:rFonts w:hint="eastAsia" w:ascii="仿宋_GB2312" w:hAnsi="仿宋_GB2312" w:eastAsia="仿宋_GB2312" w:cs="仿宋_GB2312"/>
          <w:b w:val="0"/>
          <w:bCs/>
          <w:color w:val="auto"/>
          <w:sz w:val="32"/>
          <w:szCs w:val="32"/>
          <w:highlight w:val="none"/>
        </w:rPr>
        <w:t>少于</w:t>
      </w:r>
      <w:r>
        <w:rPr>
          <w:rFonts w:hint="eastAsia" w:ascii="仿宋_GB2312" w:hAnsi="仿宋_GB2312" w:eastAsia="仿宋_GB2312" w:cs="仿宋_GB2312"/>
          <w:b w:val="0"/>
          <w:bCs/>
          <w:color w:val="auto"/>
          <w:sz w:val="32"/>
          <w:szCs w:val="32"/>
          <w:highlight w:val="none"/>
          <w:lang w:eastAsia="zh-CN"/>
        </w:rPr>
        <w:t>或</w:t>
      </w:r>
      <w:r>
        <w:rPr>
          <w:rFonts w:hint="eastAsia" w:ascii="仿宋_GB2312" w:hAnsi="仿宋_GB2312" w:eastAsia="仿宋_GB2312" w:cs="仿宋_GB2312"/>
          <w:b w:val="0"/>
          <w:bCs/>
          <w:color w:val="auto"/>
          <w:sz w:val="32"/>
          <w:szCs w:val="32"/>
          <w:highlight w:val="none"/>
        </w:rPr>
        <w:t>等于拟支持单位数的指南条目，会审阶段只进行技术评审（满分90分），不进行价格评审。通过技术评审的，另行组织经费概算</w:t>
      </w:r>
      <w:r>
        <w:rPr>
          <w:rFonts w:hint="eastAsia" w:ascii="仿宋_GB2312" w:hAnsi="仿宋_GB2312" w:eastAsia="仿宋_GB2312" w:cs="仿宋_GB2312"/>
          <w:b w:val="0"/>
          <w:bCs/>
          <w:color w:val="auto"/>
          <w:sz w:val="32"/>
          <w:szCs w:val="32"/>
          <w:highlight w:val="none"/>
          <w:lang w:val="en-US" w:eastAsia="zh-CN"/>
        </w:rPr>
        <w:t>评审</w:t>
      </w:r>
      <w:r>
        <w:rPr>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lang w:val="en-US" w:eastAsia="zh-CN"/>
        </w:rPr>
        <w:t>若出现最终得分第二名审价经费高于第一名的情况，则将该单位经费调整至与第一名保持一致。</w:t>
      </w:r>
    </w:p>
    <w:p>
      <w:pPr>
        <w:pStyle w:val="14"/>
        <w:keepNext w:val="0"/>
        <w:keepLines w:val="0"/>
        <w:pageBreakBefore w:val="0"/>
        <w:widowControl w:val="0"/>
        <w:kinsoku/>
        <w:wordWrap/>
        <w:overflowPunct/>
        <w:topLinePunct w:val="0"/>
        <w:autoSpaceDE/>
        <w:autoSpaceDN/>
        <w:bidi w:val="0"/>
        <w:adjustRightInd/>
        <w:snapToGrid w:val="0"/>
        <w:spacing w:line="572" w:lineRule="exact"/>
        <w:ind w:firstLine="629"/>
        <w:textAlignment w:val="auto"/>
        <w:rPr>
          <w:rFonts w:hint="eastAsia" w:ascii="仿宋_GB2312" w:hAnsi="仿宋_GB2312" w:eastAsia="仿宋_GB2312" w:cs="仿宋_GB2312"/>
          <w:b w:val="0"/>
          <w:bCs/>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pacing w:line="572" w:lineRule="exact"/>
        <w:jc w:val="center"/>
        <w:textAlignment w:val="auto"/>
        <w:rPr>
          <w:rFonts w:eastAsia="黑体"/>
          <w:color w:val="auto"/>
          <w:sz w:val="32"/>
          <w:szCs w:val="32"/>
          <w:highlight w:val="none"/>
        </w:rPr>
      </w:pPr>
      <w:r>
        <w:rPr>
          <w:rFonts w:eastAsia="黑体"/>
          <w:color w:val="auto"/>
          <w:sz w:val="32"/>
          <w:szCs w:val="32"/>
          <w:highlight w:val="none"/>
        </w:rPr>
        <w:t>第六章  附则</w:t>
      </w:r>
    </w:p>
    <w:p>
      <w:pPr>
        <w:keepNext w:val="0"/>
        <w:keepLines w:val="0"/>
        <w:pageBreakBefore w:val="0"/>
        <w:widowControl w:val="0"/>
        <w:kinsoku/>
        <w:wordWrap/>
        <w:overflowPunct/>
        <w:topLinePunct w:val="0"/>
        <w:autoSpaceDE/>
        <w:autoSpaceDN/>
        <w:bidi w:val="0"/>
        <w:adjustRightInd/>
        <w:spacing w:line="572" w:lineRule="exact"/>
        <w:ind w:firstLine="632" w:firstLineChars="200"/>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第三十</w:t>
      </w:r>
      <w:r>
        <w:rPr>
          <w:rFonts w:hint="eastAsia" w:ascii="仿宋_GB2312" w:hAnsi="仿宋_GB2312" w:eastAsia="仿宋_GB2312" w:cs="仿宋_GB2312"/>
          <w:b/>
          <w:color w:val="auto"/>
          <w:sz w:val="32"/>
          <w:szCs w:val="32"/>
          <w:highlight w:val="none"/>
          <w:lang w:val="en-US" w:eastAsia="zh-CN"/>
        </w:rPr>
        <w:t>三</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会议评审后，有关入围候选单位信息按指南发布渠道予以公示，公示期7天。公示期内，仅受理书面实名举报。</w:t>
      </w:r>
    </w:p>
    <w:p>
      <w:pPr>
        <w:pStyle w:val="14"/>
        <w:keepNext w:val="0"/>
        <w:keepLines w:val="0"/>
        <w:pageBreakBefore w:val="0"/>
        <w:widowControl w:val="0"/>
        <w:kinsoku/>
        <w:wordWrap/>
        <w:overflowPunct/>
        <w:topLinePunct w:val="0"/>
        <w:autoSpaceDE/>
        <w:autoSpaceDN/>
        <w:bidi w:val="0"/>
        <w:adjustRightInd/>
        <w:snapToGrid w:val="0"/>
        <w:spacing w:line="572" w:lineRule="exact"/>
        <w:ind w:firstLine="629"/>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第三十</w:t>
      </w:r>
      <w:r>
        <w:rPr>
          <w:rFonts w:hint="eastAsia" w:ascii="仿宋_GB2312" w:hAnsi="仿宋_GB2312" w:eastAsia="仿宋_GB2312" w:cs="仿宋_GB2312"/>
          <w:b/>
          <w:color w:val="auto"/>
          <w:sz w:val="32"/>
          <w:szCs w:val="32"/>
          <w:highlight w:val="none"/>
          <w:lang w:val="en-US" w:eastAsia="zh-CN"/>
        </w:rPr>
        <w:t>四</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评审全过程相关材料全部归档备查。评审结果若出现争议，由</w:t>
      </w:r>
      <w:bookmarkStart w:id="0" w:name="_GoBack"/>
      <w:bookmarkEnd w:id="0"/>
      <w:r>
        <w:rPr>
          <w:rFonts w:hint="eastAsia" w:ascii="仿宋_GB2312" w:hAnsi="仿宋_GB2312" w:eastAsia="仿宋_GB2312" w:cs="仿宋_GB2312"/>
          <w:color w:val="auto"/>
          <w:sz w:val="32"/>
          <w:szCs w:val="32"/>
          <w:highlight w:val="none"/>
          <w:lang w:eastAsia="zh-CN"/>
        </w:rPr>
        <w:t>指南发布方</w:t>
      </w:r>
      <w:r>
        <w:rPr>
          <w:rFonts w:hint="eastAsia" w:ascii="仿宋_GB2312" w:hAnsi="仿宋_GB2312" w:eastAsia="仿宋_GB2312" w:cs="仿宋_GB2312"/>
          <w:color w:val="auto"/>
          <w:sz w:val="32"/>
          <w:szCs w:val="32"/>
          <w:highlight w:val="none"/>
          <w:lang w:val="en-US" w:eastAsia="zh-CN"/>
        </w:rPr>
        <w:t>组织</w:t>
      </w:r>
      <w:r>
        <w:rPr>
          <w:rFonts w:hint="eastAsia" w:ascii="仿宋_GB2312" w:hAnsi="仿宋_GB2312" w:eastAsia="仿宋_GB2312" w:cs="仿宋_GB2312"/>
          <w:color w:val="auto"/>
          <w:sz w:val="32"/>
          <w:szCs w:val="32"/>
          <w:highlight w:val="none"/>
        </w:rPr>
        <w:t>协调处理。</w:t>
      </w:r>
    </w:p>
    <w:p>
      <w:pPr>
        <w:pStyle w:val="14"/>
        <w:keepNext w:val="0"/>
        <w:keepLines w:val="0"/>
        <w:pageBreakBefore w:val="0"/>
        <w:widowControl w:val="0"/>
        <w:kinsoku/>
        <w:wordWrap/>
        <w:overflowPunct/>
        <w:topLinePunct w:val="0"/>
        <w:autoSpaceDE/>
        <w:autoSpaceDN/>
        <w:bidi w:val="0"/>
        <w:adjustRightInd/>
        <w:snapToGrid w:val="0"/>
        <w:spacing w:line="572" w:lineRule="exact"/>
        <w:ind w:firstLine="629"/>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第三十</w:t>
      </w:r>
      <w:r>
        <w:rPr>
          <w:rFonts w:hint="eastAsia" w:ascii="仿宋_GB2312" w:hAnsi="仿宋_GB2312" w:eastAsia="仿宋_GB2312" w:cs="仿宋_GB2312"/>
          <w:b/>
          <w:color w:val="auto"/>
          <w:sz w:val="32"/>
          <w:szCs w:val="32"/>
          <w:highlight w:val="none"/>
          <w:lang w:val="en-US" w:eastAsia="zh-CN"/>
        </w:rPr>
        <w:t>五</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本工作规范由</w:t>
      </w:r>
      <w:r>
        <w:rPr>
          <w:rFonts w:hint="eastAsia" w:ascii="仿宋_GB2312" w:hAnsi="仿宋_GB2312" w:eastAsia="仿宋_GB2312" w:cs="仿宋_GB2312"/>
          <w:color w:val="auto"/>
          <w:sz w:val="32"/>
          <w:szCs w:val="32"/>
          <w:highlight w:val="none"/>
          <w:lang w:eastAsia="zh-CN"/>
        </w:rPr>
        <w:t>指南发布方</w:t>
      </w:r>
      <w:r>
        <w:rPr>
          <w:rFonts w:hint="eastAsia" w:ascii="仿宋_GB2312" w:hAnsi="仿宋_GB2312" w:eastAsia="仿宋_GB2312" w:cs="仿宋_GB2312"/>
          <w:color w:val="auto"/>
          <w:sz w:val="32"/>
          <w:szCs w:val="32"/>
          <w:highlight w:val="none"/>
        </w:rPr>
        <w:t>负责解释。</w:t>
      </w:r>
    </w:p>
    <w:sectPr>
      <w:footerReference r:id="rId4" w:type="first"/>
      <w:footerReference r:id="rId3" w:type="default"/>
      <w:pgSz w:w="11907" w:h="16839"/>
      <w:pgMar w:top="2098" w:right="1474" w:bottom="1984" w:left="1587" w:header="851" w:footer="992" w:gutter="0"/>
      <w:pgNumType w:start="1"/>
      <w:cols w:space="720" w:num="1"/>
      <w:titlePg/>
      <w:rtlGutter w:val="0"/>
      <w:docGrid w:type="linesAndChars" w:linePitch="579" w:charSpace="-8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decorative"/>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decorative"/>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DD2469"/>
    <w:multiLevelType w:val="singleLevel"/>
    <w:tmpl w:val="65DD2469"/>
    <w:lvl w:ilvl="0" w:tentative="0">
      <w:start w:val="1"/>
      <w:numFmt w:val="upperRoman"/>
      <w:pStyle w:val="3"/>
      <w:lvlText w:val="%1."/>
      <w:lvlJc w:val="left"/>
      <w:pPr>
        <w:tabs>
          <w:tab w:val="left" w:pos="720"/>
        </w:tabs>
        <w:ind w:left="72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A2B"/>
    <w:rsid w:val="00005304"/>
    <w:rsid w:val="00006970"/>
    <w:rsid w:val="000107DF"/>
    <w:rsid w:val="00014205"/>
    <w:rsid w:val="00014480"/>
    <w:rsid w:val="00020EC9"/>
    <w:rsid w:val="00021E04"/>
    <w:rsid w:val="00023868"/>
    <w:rsid w:val="00026050"/>
    <w:rsid w:val="0002784A"/>
    <w:rsid w:val="000309B1"/>
    <w:rsid w:val="0003181B"/>
    <w:rsid w:val="00033F59"/>
    <w:rsid w:val="00036E9E"/>
    <w:rsid w:val="00045B72"/>
    <w:rsid w:val="00054F96"/>
    <w:rsid w:val="000561DF"/>
    <w:rsid w:val="00064142"/>
    <w:rsid w:val="00066421"/>
    <w:rsid w:val="00070261"/>
    <w:rsid w:val="00072490"/>
    <w:rsid w:val="000760B1"/>
    <w:rsid w:val="000766FA"/>
    <w:rsid w:val="00077D6C"/>
    <w:rsid w:val="00081083"/>
    <w:rsid w:val="00085B08"/>
    <w:rsid w:val="00087A79"/>
    <w:rsid w:val="0009295A"/>
    <w:rsid w:val="00095AF1"/>
    <w:rsid w:val="00095B86"/>
    <w:rsid w:val="00096C56"/>
    <w:rsid w:val="00096C82"/>
    <w:rsid w:val="00097180"/>
    <w:rsid w:val="00097A77"/>
    <w:rsid w:val="000A0A78"/>
    <w:rsid w:val="000A2EC0"/>
    <w:rsid w:val="000A3EBE"/>
    <w:rsid w:val="000A78C1"/>
    <w:rsid w:val="000B70EF"/>
    <w:rsid w:val="000C19C9"/>
    <w:rsid w:val="000C2871"/>
    <w:rsid w:val="000C6504"/>
    <w:rsid w:val="000C76E9"/>
    <w:rsid w:val="000C77A7"/>
    <w:rsid w:val="000D07B3"/>
    <w:rsid w:val="000D1EE2"/>
    <w:rsid w:val="000D2FBF"/>
    <w:rsid w:val="000D47F0"/>
    <w:rsid w:val="000D61FD"/>
    <w:rsid w:val="000D77DD"/>
    <w:rsid w:val="000E0799"/>
    <w:rsid w:val="000E2162"/>
    <w:rsid w:val="000E5F9A"/>
    <w:rsid w:val="000F0CDD"/>
    <w:rsid w:val="000F10A5"/>
    <w:rsid w:val="000F42ED"/>
    <w:rsid w:val="001015CE"/>
    <w:rsid w:val="001028DD"/>
    <w:rsid w:val="0011025A"/>
    <w:rsid w:val="00110D10"/>
    <w:rsid w:val="001123BC"/>
    <w:rsid w:val="00112624"/>
    <w:rsid w:val="00112F90"/>
    <w:rsid w:val="00114D5D"/>
    <w:rsid w:val="0011518B"/>
    <w:rsid w:val="00116562"/>
    <w:rsid w:val="00116ED2"/>
    <w:rsid w:val="00117C08"/>
    <w:rsid w:val="00122E78"/>
    <w:rsid w:val="001231AB"/>
    <w:rsid w:val="00126B98"/>
    <w:rsid w:val="00127510"/>
    <w:rsid w:val="0013113D"/>
    <w:rsid w:val="00131F55"/>
    <w:rsid w:val="001379C4"/>
    <w:rsid w:val="0014082D"/>
    <w:rsid w:val="001424DE"/>
    <w:rsid w:val="00146877"/>
    <w:rsid w:val="00153479"/>
    <w:rsid w:val="00156EA1"/>
    <w:rsid w:val="0016081F"/>
    <w:rsid w:val="00163A2B"/>
    <w:rsid w:val="001659AF"/>
    <w:rsid w:val="00166BB8"/>
    <w:rsid w:val="00171368"/>
    <w:rsid w:val="00174F1F"/>
    <w:rsid w:val="0017505E"/>
    <w:rsid w:val="00175B5B"/>
    <w:rsid w:val="001812B2"/>
    <w:rsid w:val="001821DE"/>
    <w:rsid w:val="00185625"/>
    <w:rsid w:val="00196368"/>
    <w:rsid w:val="0019753E"/>
    <w:rsid w:val="001A32B7"/>
    <w:rsid w:val="001A5585"/>
    <w:rsid w:val="001A64CE"/>
    <w:rsid w:val="001B2C84"/>
    <w:rsid w:val="001B584A"/>
    <w:rsid w:val="001B64F3"/>
    <w:rsid w:val="001B7EEF"/>
    <w:rsid w:val="001C00A8"/>
    <w:rsid w:val="001C33E8"/>
    <w:rsid w:val="001C5600"/>
    <w:rsid w:val="001C766B"/>
    <w:rsid w:val="001D682E"/>
    <w:rsid w:val="001D7F45"/>
    <w:rsid w:val="001E1FF3"/>
    <w:rsid w:val="001E5241"/>
    <w:rsid w:val="001E62F2"/>
    <w:rsid w:val="001F2346"/>
    <w:rsid w:val="001F35D2"/>
    <w:rsid w:val="001F6E9E"/>
    <w:rsid w:val="00201CA7"/>
    <w:rsid w:val="0020226C"/>
    <w:rsid w:val="002031F9"/>
    <w:rsid w:val="00205C7F"/>
    <w:rsid w:val="00212DA1"/>
    <w:rsid w:val="0021478B"/>
    <w:rsid w:val="00215BDA"/>
    <w:rsid w:val="00216281"/>
    <w:rsid w:val="00217922"/>
    <w:rsid w:val="002200C3"/>
    <w:rsid w:val="002218D1"/>
    <w:rsid w:val="00223631"/>
    <w:rsid w:val="0022693F"/>
    <w:rsid w:val="00230270"/>
    <w:rsid w:val="00231284"/>
    <w:rsid w:val="00233855"/>
    <w:rsid w:val="002351A5"/>
    <w:rsid w:val="00235D39"/>
    <w:rsid w:val="002364AA"/>
    <w:rsid w:val="002401E3"/>
    <w:rsid w:val="00240846"/>
    <w:rsid w:val="00244550"/>
    <w:rsid w:val="00245AA7"/>
    <w:rsid w:val="0025245F"/>
    <w:rsid w:val="0026162A"/>
    <w:rsid w:val="00263D1D"/>
    <w:rsid w:val="00277A18"/>
    <w:rsid w:val="002826BB"/>
    <w:rsid w:val="00283B6C"/>
    <w:rsid w:val="00284C21"/>
    <w:rsid w:val="00286E9C"/>
    <w:rsid w:val="00287560"/>
    <w:rsid w:val="00296993"/>
    <w:rsid w:val="002969F7"/>
    <w:rsid w:val="002A215D"/>
    <w:rsid w:val="002A40EA"/>
    <w:rsid w:val="002A4817"/>
    <w:rsid w:val="002A662D"/>
    <w:rsid w:val="002B0BF4"/>
    <w:rsid w:val="002B1615"/>
    <w:rsid w:val="002B4238"/>
    <w:rsid w:val="002B44D2"/>
    <w:rsid w:val="002B4BD9"/>
    <w:rsid w:val="002B4CF4"/>
    <w:rsid w:val="002C096E"/>
    <w:rsid w:val="002C1DFA"/>
    <w:rsid w:val="002C25B9"/>
    <w:rsid w:val="002C4465"/>
    <w:rsid w:val="002C7B02"/>
    <w:rsid w:val="002C7C19"/>
    <w:rsid w:val="002D27C3"/>
    <w:rsid w:val="002D67A3"/>
    <w:rsid w:val="002D7114"/>
    <w:rsid w:val="002D7FA2"/>
    <w:rsid w:val="002E0E7B"/>
    <w:rsid w:val="002E0EAF"/>
    <w:rsid w:val="002E31D5"/>
    <w:rsid w:val="002E433A"/>
    <w:rsid w:val="002E4F27"/>
    <w:rsid w:val="002E7907"/>
    <w:rsid w:val="002F351C"/>
    <w:rsid w:val="002F353C"/>
    <w:rsid w:val="002F358A"/>
    <w:rsid w:val="002F37D2"/>
    <w:rsid w:val="002F4565"/>
    <w:rsid w:val="00300C1D"/>
    <w:rsid w:val="003025E3"/>
    <w:rsid w:val="0030265F"/>
    <w:rsid w:val="003206EF"/>
    <w:rsid w:val="00320FFD"/>
    <w:rsid w:val="0032224B"/>
    <w:rsid w:val="0032239D"/>
    <w:rsid w:val="003272C2"/>
    <w:rsid w:val="00333216"/>
    <w:rsid w:val="00340279"/>
    <w:rsid w:val="00342AC5"/>
    <w:rsid w:val="003454AB"/>
    <w:rsid w:val="0034570D"/>
    <w:rsid w:val="00345DF1"/>
    <w:rsid w:val="00347D7A"/>
    <w:rsid w:val="00350B56"/>
    <w:rsid w:val="003606C6"/>
    <w:rsid w:val="0036755A"/>
    <w:rsid w:val="003705E2"/>
    <w:rsid w:val="0037107E"/>
    <w:rsid w:val="00372371"/>
    <w:rsid w:val="003735CD"/>
    <w:rsid w:val="00375C08"/>
    <w:rsid w:val="003767DF"/>
    <w:rsid w:val="00376BB8"/>
    <w:rsid w:val="003777D0"/>
    <w:rsid w:val="00380CCF"/>
    <w:rsid w:val="0038272D"/>
    <w:rsid w:val="00383A57"/>
    <w:rsid w:val="003879C7"/>
    <w:rsid w:val="00387A05"/>
    <w:rsid w:val="00392962"/>
    <w:rsid w:val="00392F4B"/>
    <w:rsid w:val="003956BA"/>
    <w:rsid w:val="00395DAB"/>
    <w:rsid w:val="0039621B"/>
    <w:rsid w:val="003A0DBF"/>
    <w:rsid w:val="003A0DC0"/>
    <w:rsid w:val="003A5481"/>
    <w:rsid w:val="003A68D2"/>
    <w:rsid w:val="003A7F8E"/>
    <w:rsid w:val="003B1CDF"/>
    <w:rsid w:val="003B31E9"/>
    <w:rsid w:val="003B6B93"/>
    <w:rsid w:val="003C00B1"/>
    <w:rsid w:val="003C20EE"/>
    <w:rsid w:val="003C3AC7"/>
    <w:rsid w:val="003C6A31"/>
    <w:rsid w:val="003D0FE7"/>
    <w:rsid w:val="003D3DED"/>
    <w:rsid w:val="003D5160"/>
    <w:rsid w:val="003D5464"/>
    <w:rsid w:val="003D6964"/>
    <w:rsid w:val="003D6ABF"/>
    <w:rsid w:val="003D6D6B"/>
    <w:rsid w:val="003E46F6"/>
    <w:rsid w:val="003E57A0"/>
    <w:rsid w:val="003F012D"/>
    <w:rsid w:val="003F5BCB"/>
    <w:rsid w:val="003F6537"/>
    <w:rsid w:val="00400DD6"/>
    <w:rsid w:val="00401FF3"/>
    <w:rsid w:val="00402510"/>
    <w:rsid w:val="004041C0"/>
    <w:rsid w:val="00404AB8"/>
    <w:rsid w:val="00405F55"/>
    <w:rsid w:val="00406CF4"/>
    <w:rsid w:val="0041152B"/>
    <w:rsid w:val="00412068"/>
    <w:rsid w:val="00412949"/>
    <w:rsid w:val="00413BBD"/>
    <w:rsid w:val="00417653"/>
    <w:rsid w:val="00417871"/>
    <w:rsid w:val="004204AC"/>
    <w:rsid w:val="00420CAD"/>
    <w:rsid w:val="004229D7"/>
    <w:rsid w:val="00423963"/>
    <w:rsid w:val="00423F0D"/>
    <w:rsid w:val="0042548E"/>
    <w:rsid w:val="0042572A"/>
    <w:rsid w:val="004277EF"/>
    <w:rsid w:val="00433ED4"/>
    <w:rsid w:val="0043427A"/>
    <w:rsid w:val="00435A46"/>
    <w:rsid w:val="00436AD7"/>
    <w:rsid w:val="004412D8"/>
    <w:rsid w:val="0045008A"/>
    <w:rsid w:val="0045207C"/>
    <w:rsid w:val="004548D9"/>
    <w:rsid w:val="004567D1"/>
    <w:rsid w:val="00460AA0"/>
    <w:rsid w:val="00460ED5"/>
    <w:rsid w:val="004618CC"/>
    <w:rsid w:val="0046254C"/>
    <w:rsid w:val="004644D3"/>
    <w:rsid w:val="00467448"/>
    <w:rsid w:val="0047020B"/>
    <w:rsid w:val="00470B97"/>
    <w:rsid w:val="0047171E"/>
    <w:rsid w:val="00474950"/>
    <w:rsid w:val="00475310"/>
    <w:rsid w:val="004756D3"/>
    <w:rsid w:val="00476FEE"/>
    <w:rsid w:val="00477D09"/>
    <w:rsid w:val="00477EA6"/>
    <w:rsid w:val="00480B41"/>
    <w:rsid w:val="00486958"/>
    <w:rsid w:val="00486C34"/>
    <w:rsid w:val="004914E8"/>
    <w:rsid w:val="004A1FE8"/>
    <w:rsid w:val="004A78C3"/>
    <w:rsid w:val="004B0203"/>
    <w:rsid w:val="004B0427"/>
    <w:rsid w:val="004B4E7E"/>
    <w:rsid w:val="004B5F3A"/>
    <w:rsid w:val="004B675E"/>
    <w:rsid w:val="004B680A"/>
    <w:rsid w:val="004B6A5B"/>
    <w:rsid w:val="004B78D9"/>
    <w:rsid w:val="004C4F92"/>
    <w:rsid w:val="004C50FC"/>
    <w:rsid w:val="004C5963"/>
    <w:rsid w:val="004D0760"/>
    <w:rsid w:val="004D197F"/>
    <w:rsid w:val="004D1A95"/>
    <w:rsid w:val="004D48A8"/>
    <w:rsid w:val="004D4B06"/>
    <w:rsid w:val="004D54EF"/>
    <w:rsid w:val="004D6539"/>
    <w:rsid w:val="004D66B0"/>
    <w:rsid w:val="004D6F54"/>
    <w:rsid w:val="004E01A0"/>
    <w:rsid w:val="004E206B"/>
    <w:rsid w:val="004E4CF6"/>
    <w:rsid w:val="004F21B1"/>
    <w:rsid w:val="004F3835"/>
    <w:rsid w:val="004F438E"/>
    <w:rsid w:val="004F6703"/>
    <w:rsid w:val="004F711D"/>
    <w:rsid w:val="0050001C"/>
    <w:rsid w:val="00503CF3"/>
    <w:rsid w:val="0051007A"/>
    <w:rsid w:val="005119EC"/>
    <w:rsid w:val="0052053B"/>
    <w:rsid w:val="00521160"/>
    <w:rsid w:val="00523D51"/>
    <w:rsid w:val="00524C14"/>
    <w:rsid w:val="00525ABF"/>
    <w:rsid w:val="00526009"/>
    <w:rsid w:val="005303E6"/>
    <w:rsid w:val="005329DB"/>
    <w:rsid w:val="00533614"/>
    <w:rsid w:val="00533F44"/>
    <w:rsid w:val="005353A3"/>
    <w:rsid w:val="0053724E"/>
    <w:rsid w:val="00544293"/>
    <w:rsid w:val="00553261"/>
    <w:rsid w:val="00554861"/>
    <w:rsid w:val="005639E7"/>
    <w:rsid w:val="00566B2A"/>
    <w:rsid w:val="00567694"/>
    <w:rsid w:val="005706C2"/>
    <w:rsid w:val="00572DA6"/>
    <w:rsid w:val="005733B9"/>
    <w:rsid w:val="005736E2"/>
    <w:rsid w:val="00574266"/>
    <w:rsid w:val="00575B63"/>
    <w:rsid w:val="00575F6F"/>
    <w:rsid w:val="0057684C"/>
    <w:rsid w:val="0057755C"/>
    <w:rsid w:val="00581A36"/>
    <w:rsid w:val="00583F35"/>
    <w:rsid w:val="00584980"/>
    <w:rsid w:val="00587AFB"/>
    <w:rsid w:val="00587DC4"/>
    <w:rsid w:val="005906CE"/>
    <w:rsid w:val="00591ED7"/>
    <w:rsid w:val="00593BD7"/>
    <w:rsid w:val="005945E9"/>
    <w:rsid w:val="00595820"/>
    <w:rsid w:val="005A594E"/>
    <w:rsid w:val="005A782D"/>
    <w:rsid w:val="005B144D"/>
    <w:rsid w:val="005B169E"/>
    <w:rsid w:val="005B36F1"/>
    <w:rsid w:val="005B76E5"/>
    <w:rsid w:val="005C10F0"/>
    <w:rsid w:val="005C173E"/>
    <w:rsid w:val="005C1D8B"/>
    <w:rsid w:val="005C2FAC"/>
    <w:rsid w:val="005C53C7"/>
    <w:rsid w:val="005C6642"/>
    <w:rsid w:val="005C68CE"/>
    <w:rsid w:val="005C7A54"/>
    <w:rsid w:val="005D1770"/>
    <w:rsid w:val="005D6300"/>
    <w:rsid w:val="005D789A"/>
    <w:rsid w:val="005E3EF6"/>
    <w:rsid w:val="005E439B"/>
    <w:rsid w:val="005F3680"/>
    <w:rsid w:val="005F36A1"/>
    <w:rsid w:val="005F4407"/>
    <w:rsid w:val="005F5DE3"/>
    <w:rsid w:val="00600856"/>
    <w:rsid w:val="00600A11"/>
    <w:rsid w:val="00605D5E"/>
    <w:rsid w:val="00606B69"/>
    <w:rsid w:val="00613245"/>
    <w:rsid w:val="00614D3B"/>
    <w:rsid w:val="00615044"/>
    <w:rsid w:val="006274F2"/>
    <w:rsid w:val="00630109"/>
    <w:rsid w:val="006306D2"/>
    <w:rsid w:val="0063224B"/>
    <w:rsid w:val="00634AD5"/>
    <w:rsid w:val="006356B1"/>
    <w:rsid w:val="0063651E"/>
    <w:rsid w:val="006429AA"/>
    <w:rsid w:val="00647079"/>
    <w:rsid w:val="00655D22"/>
    <w:rsid w:val="006572CF"/>
    <w:rsid w:val="006603B1"/>
    <w:rsid w:val="00660570"/>
    <w:rsid w:val="006612B1"/>
    <w:rsid w:val="00661487"/>
    <w:rsid w:val="006629B1"/>
    <w:rsid w:val="006644B3"/>
    <w:rsid w:val="006674C0"/>
    <w:rsid w:val="006705FF"/>
    <w:rsid w:val="006710E7"/>
    <w:rsid w:val="00674F5D"/>
    <w:rsid w:val="00676A10"/>
    <w:rsid w:val="00682A24"/>
    <w:rsid w:val="00682C86"/>
    <w:rsid w:val="00682E35"/>
    <w:rsid w:val="006831A6"/>
    <w:rsid w:val="00691574"/>
    <w:rsid w:val="00694907"/>
    <w:rsid w:val="0069521B"/>
    <w:rsid w:val="006954C2"/>
    <w:rsid w:val="00695B37"/>
    <w:rsid w:val="0069642A"/>
    <w:rsid w:val="0069699D"/>
    <w:rsid w:val="006B311B"/>
    <w:rsid w:val="006C1525"/>
    <w:rsid w:val="006C2887"/>
    <w:rsid w:val="006C4D0D"/>
    <w:rsid w:val="006C772F"/>
    <w:rsid w:val="006D0419"/>
    <w:rsid w:val="006D20FF"/>
    <w:rsid w:val="006D2DED"/>
    <w:rsid w:val="006D6B9F"/>
    <w:rsid w:val="006D6CCE"/>
    <w:rsid w:val="006E1200"/>
    <w:rsid w:val="006E6727"/>
    <w:rsid w:val="006F09FD"/>
    <w:rsid w:val="006F35C0"/>
    <w:rsid w:val="006F44FA"/>
    <w:rsid w:val="006F79C7"/>
    <w:rsid w:val="00700A38"/>
    <w:rsid w:val="00703061"/>
    <w:rsid w:val="0070436A"/>
    <w:rsid w:val="0070503C"/>
    <w:rsid w:val="00705672"/>
    <w:rsid w:val="00707A1E"/>
    <w:rsid w:val="007124B0"/>
    <w:rsid w:val="00713556"/>
    <w:rsid w:val="0071399D"/>
    <w:rsid w:val="00720470"/>
    <w:rsid w:val="00720927"/>
    <w:rsid w:val="00724FD8"/>
    <w:rsid w:val="007255D1"/>
    <w:rsid w:val="00725D27"/>
    <w:rsid w:val="00730405"/>
    <w:rsid w:val="0073206C"/>
    <w:rsid w:val="00733A0C"/>
    <w:rsid w:val="007361B9"/>
    <w:rsid w:val="00742F9C"/>
    <w:rsid w:val="00745A9E"/>
    <w:rsid w:val="00747B7D"/>
    <w:rsid w:val="007550F2"/>
    <w:rsid w:val="00756311"/>
    <w:rsid w:val="0075665C"/>
    <w:rsid w:val="00757835"/>
    <w:rsid w:val="007606AA"/>
    <w:rsid w:val="00763BAB"/>
    <w:rsid w:val="00765BF3"/>
    <w:rsid w:val="00775926"/>
    <w:rsid w:val="007861F0"/>
    <w:rsid w:val="0078645C"/>
    <w:rsid w:val="00786563"/>
    <w:rsid w:val="00787E4F"/>
    <w:rsid w:val="00791484"/>
    <w:rsid w:val="007A0C8B"/>
    <w:rsid w:val="007A2AC9"/>
    <w:rsid w:val="007B0A89"/>
    <w:rsid w:val="007B1363"/>
    <w:rsid w:val="007B1547"/>
    <w:rsid w:val="007B2948"/>
    <w:rsid w:val="007B5F14"/>
    <w:rsid w:val="007C0F6D"/>
    <w:rsid w:val="007C2E8E"/>
    <w:rsid w:val="007C415F"/>
    <w:rsid w:val="007C48A4"/>
    <w:rsid w:val="007C7F65"/>
    <w:rsid w:val="007D33D3"/>
    <w:rsid w:val="007D4E02"/>
    <w:rsid w:val="007D7BCE"/>
    <w:rsid w:val="007E13D2"/>
    <w:rsid w:val="007E2FA4"/>
    <w:rsid w:val="007E3B79"/>
    <w:rsid w:val="007E72B0"/>
    <w:rsid w:val="007E72EC"/>
    <w:rsid w:val="007F155F"/>
    <w:rsid w:val="007F4048"/>
    <w:rsid w:val="007F40F2"/>
    <w:rsid w:val="007F4C11"/>
    <w:rsid w:val="007F60DC"/>
    <w:rsid w:val="00804D7E"/>
    <w:rsid w:val="00805A8F"/>
    <w:rsid w:val="008064FC"/>
    <w:rsid w:val="00807334"/>
    <w:rsid w:val="00807A66"/>
    <w:rsid w:val="008104F6"/>
    <w:rsid w:val="00810A64"/>
    <w:rsid w:val="00811E86"/>
    <w:rsid w:val="00816976"/>
    <w:rsid w:val="0081729B"/>
    <w:rsid w:val="008177B6"/>
    <w:rsid w:val="00821D04"/>
    <w:rsid w:val="00822360"/>
    <w:rsid w:val="00824DC7"/>
    <w:rsid w:val="00824ECA"/>
    <w:rsid w:val="008252A2"/>
    <w:rsid w:val="00826A7E"/>
    <w:rsid w:val="00827776"/>
    <w:rsid w:val="00831C1E"/>
    <w:rsid w:val="00832832"/>
    <w:rsid w:val="00832A7C"/>
    <w:rsid w:val="00833ED8"/>
    <w:rsid w:val="00834847"/>
    <w:rsid w:val="00834B7F"/>
    <w:rsid w:val="00835AA5"/>
    <w:rsid w:val="0083673E"/>
    <w:rsid w:val="00836770"/>
    <w:rsid w:val="00836CFF"/>
    <w:rsid w:val="0083734D"/>
    <w:rsid w:val="00837C60"/>
    <w:rsid w:val="0084036D"/>
    <w:rsid w:val="00840E6D"/>
    <w:rsid w:val="00841EDD"/>
    <w:rsid w:val="00845C71"/>
    <w:rsid w:val="00846B16"/>
    <w:rsid w:val="00854A05"/>
    <w:rsid w:val="00863F39"/>
    <w:rsid w:val="0086458F"/>
    <w:rsid w:val="0087107A"/>
    <w:rsid w:val="008729FA"/>
    <w:rsid w:val="00872B19"/>
    <w:rsid w:val="0087529C"/>
    <w:rsid w:val="00875386"/>
    <w:rsid w:val="00875AFC"/>
    <w:rsid w:val="00876A90"/>
    <w:rsid w:val="00877D25"/>
    <w:rsid w:val="00877FFD"/>
    <w:rsid w:val="0088033E"/>
    <w:rsid w:val="0088369A"/>
    <w:rsid w:val="0089091E"/>
    <w:rsid w:val="00892095"/>
    <w:rsid w:val="00893DC4"/>
    <w:rsid w:val="00894949"/>
    <w:rsid w:val="008A4AB0"/>
    <w:rsid w:val="008A4FC3"/>
    <w:rsid w:val="008A6B75"/>
    <w:rsid w:val="008B1D13"/>
    <w:rsid w:val="008B6288"/>
    <w:rsid w:val="008C2C42"/>
    <w:rsid w:val="008D0D09"/>
    <w:rsid w:val="008D1399"/>
    <w:rsid w:val="008D3F21"/>
    <w:rsid w:val="008E0C76"/>
    <w:rsid w:val="008E0CDE"/>
    <w:rsid w:val="008E2A33"/>
    <w:rsid w:val="008E31AC"/>
    <w:rsid w:val="008E4974"/>
    <w:rsid w:val="008E4F80"/>
    <w:rsid w:val="008E589A"/>
    <w:rsid w:val="008E5908"/>
    <w:rsid w:val="008E60CC"/>
    <w:rsid w:val="008E6DB6"/>
    <w:rsid w:val="008E7E06"/>
    <w:rsid w:val="008F1675"/>
    <w:rsid w:val="008F2EED"/>
    <w:rsid w:val="008F4782"/>
    <w:rsid w:val="008F56A7"/>
    <w:rsid w:val="00900818"/>
    <w:rsid w:val="009040E2"/>
    <w:rsid w:val="0090790C"/>
    <w:rsid w:val="0091409D"/>
    <w:rsid w:val="00917658"/>
    <w:rsid w:val="00917FBF"/>
    <w:rsid w:val="00921A33"/>
    <w:rsid w:val="00924ECA"/>
    <w:rsid w:val="0092746F"/>
    <w:rsid w:val="00927E41"/>
    <w:rsid w:val="0093271E"/>
    <w:rsid w:val="00933C80"/>
    <w:rsid w:val="00935E0F"/>
    <w:rsid w:val="00937533"/>
    <w:rsid w:val="00942C74"/>
    <w:rsid w:val="00944501"/>
    <w:rsid w:val="00947B32"/>
    <w:rsid w:val="0095155F"/>
    <w:rsid w:val="0095264B"/>
    <w:rsid w:val="009563E3"/>
    <w:rsid w:val="00960197"/>
    <w:rsid w:val="009627A5"/>
    <w:rsid w:val="009643C0"/>
    <w:rsid w:val="009662BE"/>
    <w:rsid w:val="0096727B"/>
    <w:rsid w:val="009737EC"/>
    <w:rsid w:val="0097569C"/>
    <w:rsid w:val="0097719D"/>
    <w:rsid w:val="009815AF"/>
    <w:rsid w:val="009825AA"/>
    <w:rsid w:val="00995803"/>
    <w:rsid w:val="009A039F"/>
    <w:rsid w:val="009A299D"/>
    <w:rsid w:val="009A71FC"/>
    <w:rsid w:val="009A7605"/>
    <w:rsid w:val="009A7C9E"/>
    <w:rsid w:val="009B38E5"/>
    <w:rsid w:val="009B64E4"/>
    <w:rsid w:val="009B74D0"/>
    <w:rsid w:val="009C0A2C"/>
    <w:rsid w:val="009C1A2B"/>
    <w:rsid w:val="009C212D"/>
    <w:rsid w:val="009C2BE3"/>
    <w:rsid w:val="009C545B"/>
    <w:rsid w:val="009C68B2"/>
    <w:rsid w:val="009C6DBF"/>
    <w:rsid w:val="009D2D9C"/>
    <w:rsid w:val="009D381C"/>
    <w:rsid w:val="009E0E4E"/>
    <w:rsid w:val="009E2D8E"/>
    <w:rsid w:val="009E4D52"/>
    <w:rsid w:val="009E5274"/>
    <w:rsid w:val="009E5F0E"/>
    <w:rsid w:val="009F0800"/>
    <w:rsid w:val="009F3937"/>
    <w:rsid w:val="009F5648"/>
    <w:rsid w:val="009F7A0E"/>
    <w:rsid w:val="00A022A7"/>
    <w:rsid w:val="00A03877"/>
    <w:rsid w:val="00A201E8"/>
    <w:rsid w:val="00A202BB"/>
    <w:rsid w:val="00A21702"/>
    <w:rsid w:val="00A26004"/>
    <w:rsid w:val="00A30260"/>
    <w:rsid w:val="00A31850"/>
    <w:rsid w:val="00A324E2"/>
    <w:rsid w:val="00A3654D"/>
    <w:rsid w:val="00A40275"/>
    <w:rsid w:val="00A44FF4"/>
    <w:rsid w:val="00A457AE"/>
    <w:rsid w:val="00A46A03"/>
    <w:rsid w:val="00A479B0"/>
    <w:rsid w:val="00A51AA1"/>
    <w:rsid w:val="00A5536C"/>
    <w:rsid w:val="00A623A6"/>
    <w:rsid w:val="00A62750"/>
    <w:rsid w:val="00A71F38"/>
    <w:rsid w:val="00A735BF"/>
    <w:rsid w:val="00A75F66"/>
    <w:rsid w:val="00A779F5"/>
    <w:rsid w:val="00A8063E"/>
    <w:rsid w:val="00A87E6F"/>
    <w:rsid w:val="00A94E93"/>
    <w:rsid w:val="00AA2C24"/>
    <w:rsid w:val="00AB1C8E"/>
    <w:rsid w:val="00AB1E4F"/>
    <w:rsid w:val="00AC0EAA"/>
    <w:rsid w:val="00AC47E2"/>
    <w:rsid w:val="00AC5685"/>
    <w:rsid w:val="00AC5A17"/>
    <w:rsid w:val="00AC6F89"/>
    <w:rsid w:val="00AD2AD1"/>
    <w:rsid w:val="00AD2C8A"/>
    <w:rsid w:val="00AD2F89"/>
    <w:rsid w:val="00AD4B8D"/>
    <w:rsid w:val="00AD5A68"/>
    <w:rsid w:val="00AE3C6C"/>
    <w:rsid w:val="00AE5740"/>
    <w:rsid w:val="00AE7464"/>
    <w:rsid w:val="00AE7873"/>
    <w:rsid w:val="00AF093C"/>
    <w:rsid w:val="00AF60BE"/>
    <w:rsid w:val="00AF6454"/>
    <w:rsid w:val="00AF66E7"/>
    <w:rsid w:val="00B01FC4"/>
    <w:rsid w:val="00B027C3"/>
    <w:rsid w:val="00B02A00"/>
    <w:rsid w:val="00B06A4D"/>
    <w:rsid w:val="00B10F8E"/>
    <w:rsid w:val="00B1232A"/>
    <w:rsid w:val="00B13B04"/>
    <w:rsid w:val="00B147F3"/>
    <w:rsid w:val="00B14EFD"/>
    <w:rsid w:val="00B15D9F"/>
    <w:rsid w:val="00B205ED"/>
    <w:rsid w:val="00B22532"/>
    <w:rsid w:val="00B22E99"/>
    <w:rsid w:val="00B2436D"/>
    <w:rsid w:val="00B248B7"/>
    <w:rsid w:val="00B250F1"/>
    <w:rsid w:val="00B3089B"/>
    <w:rsid w:val="00B35162"/>
    <w:rsid w:val="00B406C6"/>
    <w:rsid w:val="00B41A77"/>
    <w:rsid w:val="00B423DE"/>
    <w:rsid w:val="00B42DB7"/>
    <w:rsid w:val="00B44E90"/>
    <w:rsid w:val="00B464AF"/>
    <w:rsid w:val="00B46501"/>
    <w:rsid w:val="00B47765"/>
    <w:rsid w:val="00B47C08"/>
    <w:rsid w:val="00B50358"/>
    <w:rsid w:val="00B50660"/>
    <w:rsid w:val="00B50CCC"/>
    <w:rsid w:val="00B50EBC"/>
    <w:rsid w:val="00B51892"/>
    <w:rsid w:val="00B52DDC"/>
    <w:rsid w:val="00B552E8"/>
    <w:rsid w:val="00B55B9B"/>
    <w:rsid w:val="00B55D7A"/>
    <w:rsid w:val="00B57B31"/>
    <w:rsid w:val="00B615B0"/>
    <w:rsid w:val="00B62FC7"/>
    <w:rsid w:val="00B6667D"/>
    <w:rsid w:val="00B673FC"/>
    <w:rsid w:val="00B678D8"/>
    <w:rsid w:val="00B679B5"/>
    <w:rsid w:val="00B7139D"/>
    <w:rsid w:val="00B74AA9"/>
    <w:rsid w:val="00B75433"/>
    <w:rsid w:val="00B8676C"/>
    <w:rsid w:val="00B87F5D"/>
    <w:rsid w:val="00B9314E"/>
    <w:rsid w:val="00B95E28"/>
    <w:rsid w:val="00BA063E"/>
    <w:rsid w:val="00BA3A6A"/>
    <w:rsid w:val="00BA3E16"/>
    <w:rsid w:val="00BA703A"/>
    <w:rsid w:val="00BA72B8"/>
    <w:rsid w:val="00BB2B77"/>
    <w:rsid w:val="00BB2F42"/>
    <w:rsid w:val="00BB42C3"/>
    <w:rsid w:val="00BB5F2D"/>
    <w:rsid w:val="00BB67D0"/>
    <w:rsid w:val="00BB6D9A"/>
    <w:rsid w:val="00BB7390"/>
    <w:rsid w:val="00BC0E9F"/>
    <w:rsid w:val="00BC3D6D"/>
    <w:rsid w:val="00BC4BD7"/>
    <w:rsid w:val="00BC5F14"/>
    <w:rsid w:val="00BD0EED"/>
    <w:rsid w:val="00BD19F4"/>
    <w:rsid w:val="00BD23BC"/>
    <w:rsid w:val="00BD4432"/>
    <w:rsid w:val="00BD44B1"/>
    <w:rsid w:val="00BD55D1"/>
    <w:rsid w:val="00BD6AF6"/>
    <w:rsid w:val="00BD6E64"/>
    <w:rsid w:val="00BE0023"/>
    <w:rsid w:val="00BE1A38"/>
    <w:rsid w:val="00BE2213"/>
    <w:rsid w:val="00BE2AC4"/>
    <w:rsid w:val="00BE5CB4"/>
    <w:rsid w:val="00BE673C"/>
    <w:rsid w:val="00BE7FF6"/>
    <w:rsid w:val="00BF1A2A"/>
    <w:rsid w:val="00BF1E90"/>
    <w:rsid w:val="00BF25AC"/>
    <w:rsid w:val="00BF2EA8"/>
    <w:rsid w:val="00BF59FE"/>
    <w:rsid w:val="00BF6962"/>
    <w:rsid w:val="00BF6EE5"/>
    <w:rsid w:val="00C12325"/>
    <w:rsid w:val="00C12CBE"/>
    <w:rsid w:val="00C12D0A"/>
    <w:rsid w:val="00C13649"/>
    <w:rsid w:val="00C138CD"/>
    <w:rsid w:val="00C15513"/>
    <w:rsid w:val="00C16169"/>
    <w:rsid w:val="00C17C2E"/>
    <w:rsid w:val="00C20B6B"/>
    <w:rsid w:val="00C2218D"/>
    <w:rsid w:val="00C24618"/>
    <w:rsid w:val="00C35B01"/>
    <w:rsid w:val="00C37B72"/>
    <w:rsid w:val="00C40364"/>
    <w:rsid w:val="00C41ABC"/>
    <w:rsid w:val="00C41FA1"/>
    <w:rsid w:val="00C50305"/>
    <w:rsid w:val="00C505BB"/>
    <w:rsid w:val="00C50782"/>
    <w:rsid w:val="00C53BFB"/>
    <w:rsid w:val="00C60EBA"/>
    <w:rsid w:val="00C60FC6"/>
    <w:rsid w:val="00C62FDD"/>
    <w:rsid w:val="00C643DB"/>
    <w:rsid w:val="00C646F0"/>
    <w:rsid w:val="00C653ED"/>
    <w:rsid w:val="00C6725D"/>
    <w:rsid w:val="00C7012E"/>
    <w:rsid w:val="00C719E6"/>
    <w:rsid w:val="00C73499"/>
    <w:rsid w:val="00C73CEB"/>
    <w:rsid w:val="00C772C0"/>
    <w:rsid w:val="00C77FA0"/>
    <w:rsid w:val="00C828E4"/>
    <w:rsid w:val="00C84124"/>
    <w:rsid w:val="00C854A4"/>
    <w:rsid w:val="00C85A90"/>
    <w:rsid w:val="00C85E13"/>
    <w:rsid w:val="00C86D60"/>
    <w:rsid w:val="00C921D1"/>
    <w:rsid w:val="00C938D9"/>
    <w:rsid w:val="00C9532B"/>
    <w:rsid w:val="00C9747A"/>
    <w:rsid w:val="00CA2C2B"/>
    <w:rsid w:val="00CA38A6"/>
    <w:rsid w:val="00CB2B85"/>
    <w:rsid w:val="00CB7BAC"/>
    <w:rsid w:val="00CC355B"/>
    <w:rsid w:val="00CC4C43"/>
    <w:rsid w:val="00CD13A2"/>
    <w:rsid w:val="00CD1F5E"/>
    <w:rsid w:val="00CD40A0"/>
    <w:rsid w:val="00CD536B"/>
    <w:rsid w:val="00CD671E"/>
    <w:rsid w:val="00CE2F61"/>
    <w:rsid w:val="00CE34A4"/>
    <w:rsid w:val="00CE4BD2"/>
    <w:rsid w:val="00CE68D0"/>
    <w:rsid w:val="00CF13F1"/>
    <w:rsid w:val="00CF2039"/>
    <w:rsid w:val="00CF3619"/>
    <w:rsid w:val="00CF4536"/>
    <w:rsid w:val="00CF731F"/>
    <w:rsid w:val="00D037AF"/>
    <w:rsid w:val="00D05D52"/>
    <w:rsid w:val="00D06714"/>
    <w:rsid w:val="00D071BF"/>
    <w:rsid w:val="00D13D61"/>
    <w:rsid w:val="00D13E91"/>
    <w:rsid w:val="00D170CA"/>
    <w:rsid w:val="00D2362B"/>
    <w:rsid w:val="00D23EAC"/>
    <w:rsid w:val="00D24621"/>
    <w:rsid w:val="00D26785"/>
    <w:rsid w:val="00D30C5E"/>
    <w:rsid w:val="00D30F79"/>
    <w:rsid w:val="00D315FE"/>
    <w:rsid w:val="00D318FD"/>
    <w:rsid w:val="00D32066"/>
    <w:rsid w:val="00D3339C"/>
    <w:rsid w:val="00D34C01"/>
    <w:rsid w:val="00D3784C"/>
    <w:rsid w:val="00D434F7"/>
    <w:rsid w:val="00D442E4"/>
    <w:rsid w:val="00D4500D"/>
    <w:rsid w:val="00D53B3F"/>
    <w:rsid w:val="00D61B74"/>
    <w:rsid w:val="00D650F1"/>
    <w:rsid w:val="00D677AD"/>
    <w:rsid w:val="00D70765"/>
    <w:rsid w:val="00D74E75"/>
    <w:rsid w:val="00D75C30"/>
    <w:rsid w:val="00D774AE"/>
    <w:rsid w:val="00D830D3"/>
    <w:rsid w:val="00D93590"/>
    <w:rsid w:val="00D95DE5"/>
    <w:rsid w:val="00D976BE"/>
    <w:rsid w:val="00DA2646"/>
    <w:rsid w:val="00DA3BF3"/>
    <w:rsid w:val="00DA4EF4"/>
    <w:rsid w:val="00DB532E"/>
    <w:rsid w:val="00DC55F6"/>
    <w:rsid w:val="00DC57DC"/>
    <w:rsid w:val="00DC784D"/>
    <w:rsid w:val="00DD2A6D"/>
    <w:rsid w:val="00DD3955"/>
    <w:rsid w:val="00DD3C44"/>
    <w:rsid w:val="00DD537F"/>
    <w:rsid w:val="00DD5AE5"/>
    <w:rsid w:val="00DD6E54"/>
    <w:rsid w:val="00DD78F9"/>
    <w:rsid w:val="00DE2312"/>
    <w:rsid w:val="00DE2453"/>
    <w:rsid w:val="00DE2F3C"/>
    <w:rsid w:val="00DE5EB4"/>
    <w:rsid w:val="00DE7151"/>
    <w:rsid w:val="00DF29D7"/>
    <w:rsid w:val="00DF2E4A"/>
    <w:rsid w:val="00DF55EB"/>
    <w:rsid w:val="00DF567C"/>
    <w:rsid w:val="00DF5D11"/>
    <w:rsid w:val="00E02DD9"/>
    <w:rsid w:val="00E04AC9"/>
    <w:rsid w:val="00E05F1A"/>
    <w:rsid w:val="00E17F0D"/>
    <w:rsid w:val="00E208A7"/>
    <w:rsid w:val="00E22B20"/>
    <w:rsid w:val="00E23F21"/>
    <w:rsid w:val="00E251A2"/>
    <w:rsid w:val="00E33D5B"/>
    <w:rsid w:val="00E33E13"/>
    <w:rsid w:val="00E36F65"/>
    <w:rsid w:val="00E36FD1"/>
    <w:rsid w:val="00E37A86"/>
    <w:rsid w:val="00E41021"/>
    <w:rsid w:val="00E427AD"/>
    <w:rsid w:val="00E431EB"/>
    <w:rsid w:val="00E50C1B"/>
    <w:rsid w:val="00E5190E"/>
    <w:rsid w:val="00E53A13"/>
    <w:rsid w:val="00E53A66"/>
    <w:rsid w:val="00E54AC1"/>
    <w:rsid w:val="00E56624"/>
    <w:rsid w:val="00E56D8E"/>
    <w:rsid w:val="00E56F64"/>
    <w:rsid w:val="00E57D40"/>
    <w:rsid w:val="00E6299E"/>
    <w:rsid w:val="00E63301"/>
    <w:rsid w:val="00E64BAF"/>
    <w:rsid w:val="00E65438"/>
    <w:rsid w:val="00E712C0"/>
    <w:rsid w:val="00E726D3"/>
    <w:rsid w:val="00E77FA5"/>
    <w:rsid w:val="00E81B45"/>
    <w:rsid w:val="00E84E1F"/>
    <w:rsid w:val="00E919EF"/>
    <w:rsid w:val="00E922C9"/>
    <w:rsid w:val="00E936EA"/>
    <w:rsid w:val="00E94729"/>
    <w:rsid w:val="00EA13F6"/>
    <w:rsid w:val="00EA1730"/>
    <w:rsid w:val="00EA1A3D"/>
    <w:rsid w:val="00EA21A2"/>
    <w:rsid w:val="00EA2A23"/>
    <w:rsid w:val="00EA3AB5"/>
    <w:rsid w:val="00EA4E4E"/>
    <w:rsid w:val="00EA593A"/>
    <w:rsid w:val="00EA5E7E"/>
    <w:rsid w:val="00EB1E31"/>
    <w:rsid w:val="00EC11CA"/>
    <w:rsid w:val="00EC76B4"/>
    <w:rsid w:val="00ED3B69"/>
    <w:rsid w:val="00ED519F"/>
    <w:rsid w:val="00ED53F0"/>
    <w:rsid w:val="00ED560F"/>
    <w:rsid w:val="00EE1986"/>
    <w:rsid w:val="00EE20D1"/>
    <w:rsid w:val="00EE7765"/>
    <w:rsid w:val="00EF1351"/>
    <w:rsid w:val="00EF2E30"/>
    <w:rsid w:val="00EF780B"/>
    <w:rsid w:val="00F00159"/>
    <w:rsid w:val="00F0284E"/>
    <w:rsid w:val="00F03A8C"/>
    <w:rsid w:val="00F04C78"/>
    <w:rsid w:val="00F05DB5"/>
    <w:rsid w:val="00F10190"/>
    <w:rsid w:val="00F11332"/>
    <w:rsid w:val="00F11BEB"/>
    <w:rsid w:val="00F1288C"/>
    <w:rsid w:val="00F12A63"/>
    <w:rsid w:val="00F1372F"/>
    <w:rsid w:val="00F1741B"/>
    <w:rsid w:val="00F21157"/>
    <w:rsid w:val="00F214C7"/>
    <w:rsid w:val="00F21D49"/>
    <w:rsid w:val="00F22B75"/>
    <w:rsid w:val="00F24CF8"/>
    <w:rsid w:val="00F310E2"/>
    <w:rsid w:val="00F3619D"/>
    <w:rsid w:val="00F40AF1"/>
    <w:rsid w:val="00F41960"/>
    <w:rsid w:val="00F449E6"/>
    <w:rsid w:val="00F5250B"/>
    <w:rsid w:val="00F52E73"/>
    <w:rsid w:val="00F5598B"/>
    <w:rsid w:val="00F5798F"/>
    <w:rsid w:val="00F61AEB"/>
    <w:rsid w:val="00F648E5"/>
    <w:rsid w:val="00F6539A"/>
    <w:rsid w:val="00F6662E"/>
    <w:rsid w:val="00F73348"/>
    <w:rsid w:val="00F7616F"/>
    <w:rsid w:val="00F77272"/>
    <w:rsid w:val="00F84D80"/>
    <w:rsid w:val="00F862A1"/>
    <w:rsid w:val="00F92205"/>
    <w:rsid w:val="00F96A5C"/>
    <w:rsid w:val="00F974FF"/>
    <w:rsid w:val="00FA08A7"/>
    <w:rsid w:val="00FA0AF5"/>
    <w:rsid w:val="00FA304F"/>
    <w:rsid w:val="00FA5CE7"/>
    <w:rsid w:val="00FB1394"/>
    <w:rsid w:val="00FB3B61"/>
    <w:rsid w:val="00FB53D6"/>
    <w:rsid w:val="00FB5B85"/>
    <w:rsid w:val="00FC013B"/>
    <w:rsid w:val="00FC050F"/>
    <w:rsid w:val="00FC0AA8"/>
    <w:rsid w:val="00FC0DC9"/>
    <w:rsid w:val="00FC210D"/>
    <w:rsid w:val="00FC283A"/>
    <w:rsid w:val="00FD0730"/>
    <w:rsid w:val="00FD1473"/>
    <w:rsid w:val="00FD1B14"/>
    <w:rsid w:val="00FD4080"/>
    <w:rsid w:val="00FD4115"/>
    <w:rsid w:val="00FE12B8"/>
    <w:rsid w:val="00FE3150"/>
    <w:rsid w:val="00FE3554"/>
    <w:rsid w:val="00FE4885"/>
    <w:rsid w:val="00FE488C"/>
    <w:rsid w:val="00FE5C41"/>
    <w:rsid w:val="00FF04A2"/>
    <w:rsid w:val="00FF05F1"/>
    <w:rsid w:val="00FF0AA4"/>
    <w:rsid w:val="00FF3FE6"/>
    <w:rsid w:val="00FF52CA"/>
    <w:rsid w:val="00FF57C7"/>
    <w:rsid w:val="00FF581F"/>
    <w:rsid w:val="00FF5D9D"/>
    <w:rsid w:val="00FF6814"/>
    <w:rsid w:val="00FF7D27"/>
    <w:rsid w:val="01B3093D"/>
    <w:rsid w:val="02BE4A84"/>
    <w:rsid w:val="03FE4C5D"/>
    <w:rsid w:val="04EC5F49"/>
    <w:rsid w:val="058434FA"/>
    <w:rsid w:val="05E664A4"/>
    <w:rsid w:val="098130D2"/>
    <w:rsid w:val="0AE478B4"/>
    <w:rsid w:val="0FDE509E"/>
    <w:rsid w:val="10353822"/>
    <w:rsid w:val="122E0E48"/>
    <w:rsid w:val="124B18E0"/>
    <w:rsid w:val="125833D3"/>
    <w:rsid w:val="138C323A"/>
    <w:rsid w:val="13C575B6"/>
    <w:rsid w:val="14E1530E"/>
    <w:rsid w:val="151C090F"/>
    <w:rsid w:val="15326CAC"/>
    <w:rsid w:val="16DD4FBF"/>
    <w:rsid w:val="17F5E267"/>
    <w:rsid w:val="18935C34"/>
    <w:rsid w:val="197CBE3D"/>
    <w:rsid w:val="1B7F2678"/>
    <w:rsid w:val="1BFD6B07"/>
    <w:rsid w:val="1CE276F2"/>
    <w:rsid w:val="1CEB11A6"/>
    <w:rsid w:val="1DF622D0"/>
    <w:rsid w:val="1DFF6737"/>
    <w:rsid w:val="1EDFC8C1"/>
    <w:rsid w:val="1F877F4D"/>
    <w:rsid w:val="1FF6C40F"/>
    <w:rsid w:val="213F3E7D"/>
    <w:rsid w:val="2542434A"/>
    <w:rsid w:val="26DD77BC"/>
    <w:rsid w:val="2769355C"/>
    <w:rsid w:val="2B7F2F50"/>
    <w:rsid w:val="2B852F4A"/>
    <w:rsid w:val="2C0C6AFF"/>
    <w:rsid w:val="2D14185E"/>
    <w:rsid w:val="2F697F75"/>
    <w:rsid w:val="2FDFCAB5"/>
    <w:rsid w:val="2FFD68E4"/>
    <w:rsid w:val="32DF0E59"/>
    <w:rsid w:val="32FF3170"/>
    <w:rsid w:val="332C6CB5"/>
    <w:rsid w:val="33600094"/>
    <w:rsid w:val="35B24F97"/>
    <w:rsid w:val="37276B9C"/>
    <w:rsid w:val="376D57B4"/>
    <w:rsid w:val="37D74FA9"/>
    <w:rsid w:val="38CB5884"/>
    <w:rsid w:val="3AA6133A"/>
    <w:rsid w:val="3AB3ECDB"/>
    <w:rsid w:val="3C360EAD"/>
    <w:rsid w:val="3C8318BC"/>
    <w:rsid w:val="3C9D35DA"/>
    <w:rsid w:val="3CF82CB1"/>
    <w:rsid w:val="3D111946"/>
    <w:rsid w:val="3DDB9FB8"/>
    <w:rsid w:val="3E7F7F8D"/>
    <w:rsid w:val="3EFFBC5E"/>
    <w:rsid w:val="3FCD9962"/>
    <w:rsid w:val="3FF676E4"/>
    <w:rsid w:val="403A741B"/>
    <w:rsid w:val="40511A2F"/>
    <w:rsid w:val="4224400D"/>
    <w:rsid w:val="43141723"/>
    <w:rsid w:val="44B45F3D"/>
    <w:rsid w:val="46BF1716"/>
    <w:rsid w:val="475A4D3B"/>
    <w:rsid w:val="477F548E"/>
    <w:rsid w:val="48665807"/>
    <w:rsid w:val="4A67510C"/>
    <w:rsid w:val="4BB448BB"/>
    <w:rsid w:val="4BDAE07B"/>
    <w:rsid w:val="4BEE13A3"/>
    <w:rsid w:val="4CEB0284"/>
    <w:rsid w:val="4CFF03F4"/>
    <w:rsid w:val="4FAD7D99"/>
    <w:rsid w:val="4FDF9750"/>
    <w:rsid w:val="50C73AC9"/>
    <w:rsid w:val="54B21334"/>
    <w:rsid w:val="54FD1A3C"/>
    <w:rsid w:val="559AE22F"/>
    <w:rsid w:val="57FF86E7"/>
    <w:rsid w:val="59266D7E"/>
    <w:rsid w:val="59495CAB"/>
    <w:rsid w:val="59F9E691"/>
    <w:rsid w:val="5A9F6AC0"/>
    <w:rsid w:val="5B4F03CE"/>
    <w:rsid w:val="5B5EA27E"/>
    <w:rsid w:val="5B70B9F0"/>
    <w:rsid w:val="5B7B1037"/>
    <w:rsid w:val="5D7BEC3C"/>
    <w:rsid w:val="5DF33D38"/>
    <w:rsid w:val="5EF5050C"/>
    <w:rsid w:val="5EF9A93D"/>
    <w:rsid w:val="5FED81BF"/>
    <w:rsid w:val="5FEF6062"/>
    <w:rsid w:val="5FFD3279"/>
    <w:rsid w:val="5FFE56D5"/>
    <w:rsid w:val="62CA4D5A"/>
    <w:rsid w:val="63E41ABB"/>
    <w:rsid w:val="649A1C72"/>
    <w:rsid w:val="658C77B3"/>
    <w:rsid w:val="65F77EA3"/>
    <w:rsid w:val="6651254E"/>
    <w:rsid w:val="67FE54AF"/>
    <w:rsid w:val="68733636"/>
    <w:rsid w:val="696FF001"/>
    <w:rsid w:val="69BF99F3"/>
    <w:rsid w:val="69DE4C22"/>
    <w:rsid w:val="69FF18B9"/>
    <w:rsid w:val="6AFA3D5B"/>
    <w:rsid w:val="6B0A28FF"/>
    <w:rsid w:val="6BFE7834"/>
    <w:rsid w:val="6C421C28"/>
    <w:rsid w:val="6D677C1C"/>
    <w:rsid w:val="6DFE6265"/>
    <w:rsid w:val="6E394108"/>
    <w:rsid w:val="6EBD4BF7"/>
    <w:rsid w:val="6F2B316D"/>
    <w:rsid w:val="6FBD985A"/>
    <w:rsid w:val="6FD22A5B"/>
    <w:rsid w:val="6FF54E56"/>
    <w:rsid w:val="70E220C5"/>
    <w:rsid w:val="71FFC7E4"/>
    <w:rsid w:val="727F3E1F"/>
    <w:rsid w:val="72CD176E"/>
    <w:rsid w:val="7313441C"/>
    <w:rsid w:val="73EFF9E6"/>
    <w:rsid w:val="73F7D0EE"/>
    <w:rsid w:val="744616F5"/>
    <w:rsid w:val="749003AB"/>
    <w:rsid w:val="74E64555"/>
    <w:rsid w:val="7553BEFC"/>
    <w:rsid w:val="755EC7B6"/>
    <w:rsid w:val="756C025A"/>
    <w:rsid w:val="757DCD5D"/>
    <w:rsid w:val="76FC7035"/>
    <w:rsid w:val="775750AF"/>
    <w:rsid w:val="77911C14"/>
    <w:rsid w:val="77927656"/>
    <w:rsid w:val="77EFFDC9"/>
    <w:rsid w:val="77FF012E"/>
    <w:rsid w:val="77FFFDDC"/>
    <w:rsid w:val="78EB7493"/>
    <w:rsid w:val="796B33E1"/>
    <w:rsid w:val="7ADF8CE6"/>
    <w:rsid w:val="7AED24E0"/>
    <w:rsid w:val="7B2BF05B"/>
    <w:rsid w:val="7B63211B"/>
    <w:rsid w:val="7B7F1203"/>
    <w:rsid w:val="7BC321B3"/>
    <w:rsid w:val="7BF57999"/>
    <w:rsid w:val="7C63591D"/>
    <w:rsid w:val="7CD48AA8"/>
    <w:rsid w:val="7CD582E7"/>
    <w:rsid w:val="7CDCF3EF"/>
    <w:rsid w:val="7DB2336A"/>
    <w:rsid w:val="7DBFB53C"/>
    <w:rsid w:val="7DDE8BF5"/>
    <w:rsid w:val="7DDFB33E"/>
    <w:rsid w:val="7DEBB09C"/>
    <w:rsid w:val="7DED2533"/>
    <w:rsid w:val="7DFD7A87"/>
    <w:rsid w:val="7F5B3E13"/>
    <w:rsid w:val="7F6DD122"/>
    <w:rsid w:val="7F8B17CE"/>
    <w:rsid w:val="7FBD68FF"/>
    <w:rsid w:val="7FBD710E"/>
    <w:rsid w:val="7FDE788B"/>
    <w:rsid w:val="7FF3FDCA"/>
    <w:rsid w:val="7FF6BC22"/>
    <w:rsid w:val="7FFDE892"/>
    <w:rsid w:val="7FFF0F68"/>
    <w:rsid w:val="7FFFF6E0"/>
    <w:rsid w:val="86FF57E0"/>
    <w:rsid w:val="8F5AC08C"/>
    <w:rsid w:val="8FD739EA"/>
    <w:rsid w:val="A7BD1D10"/>
    <w:rsid w:val="A7F937FE"/>
    <w:rsid w:val="AAFDDBAD"/>
    <w:rsid w:val="B7F742DA"/>
    <w:rsid w:val="B8F22E13"/>
    <w:rsid w:val="BBB74AB9"/>
    <w:rsid w:val="BBF61465"/>
    <w:rsid w:val="BCAFEEE4"/>
    <w:rsid w:val="BCF9945A"/>
    <w:rsid w:val="BDFF064B"/>
    <w:rsid w:val="BDFF4989"/>
    <w:rsid w:val="BEEF0FBD"/>
    <w:rsid w:val="BFAFDA62"/>
    <w:rsid w:val="BFBFDEBB"/>
    <w:rsid w:val="BFEB4D08"/>
    <w:rsid w:val="BFEBB5C3"/>
    <w:rsid w:val="BFEFE17F"/>
    <w:rsid w:val="BFF29E5C"/>
    <w:rsid w:val="BFF90CCD"/>
    <w:rsid w:val="C7F784CD"/>
    <w:rsid w:val="C7FFBADC"/>
    <w:rsid w:val="CFFBCA44"/>
    <w:rsid w:val="D5FF97F1"/>
    <w:rsid w:val="D70FCE16"/>
    <w:rsid w:val="D7FA687F"/>
    <w:rsid w:val="D83F344A"/>
    <w:rsid w:val="D95706B2"/>
    <w:rsid w:val="D9F7DA3A"/>
    <w:rsid w:val="DBF564C3"/>
    <w:rsid w:val="DBFF77A0"/>
    <w:rsid w:val="DDB95885"/>
    <w:rsid w:val="DF6D7648"/>
    <w:rsid w:val="DF6E119F"/>
    <w:rsid w:val="DF9ADD1A"/>
    <w:rsid w:val="DFFE4F95"/>
    <w:rsid w:val="EB5F120A"/>
    <w:rsid w:val="EB7731A8"/>
    <w:rsid w:val="EBE5867F"/>
    <w:rsid w:val="EBE86A86"/>
    <w:rsid w:val="ED7D3652"/>
    <w:rsid w:val="EDAB88AC"/>
    <w:rsid w:val="EF3F34E7"/>
    <w:rsid w:val="EF6B2CE6"/>
    <w:rsid w:val="EF7F8A55"/>
    <w:rsid w:val="EFDF7C8B"/>
    <w:rsid w:val="EFED5959"/>
    <w:rsid w:val="EFEF6214"/>
    <w:rsid w:val="F0BA69AA"/>
    <w:rsid w:val="F37E0EF7"/>
    <w:rsid w:val="F3EEC07B"/>
    <w:rsid w:val="F3FB7640"/>
    <w:rsid w:val="F3FB8888"/>
    <w:rsid w:val="F596EDEE"/>
    <w:rsid w:val="F6FC181D"/>
    <w:rsid w:val="F77146E5"/>
    <w:rsid w:val="F77A7A2F"/>
    <w:rsid w:val="F77AECE4"/>
    <w:rsid w:val="F7FF2816"/>
    <w:rsid w:val="F977BECA"/>
    <w:rsid w:val="F9FB20C6"/>
    <w:rsid w:val="F9FFB4B8"/>
    <w:rsid w:val="FAE79E82"/>
    <w:rsid w:val="FB3A7744"/>
    <w:rsid w:val="FBFA1101"/>
    <w:rsid w:val="FBFE6313"/>
    <w:rsid w:val="FBFF8E39"/>
    <w:rsid w:val="FCA7B9E3"/>
    <w:rsid w:val="FD6BE019"/>
    <w:rsid w:val="FDE7CE62"/>
    <w:rsid w:val="FDF3C242"/>
    <w:rsid w:val="FE3B728A"/>
    <w:rsid w:val="FED71A25"/>
    <w:rsid w:val="FEF113B4"/>
    <w:rsid w:val="FEFB65FD"/>
    <w:rsid w:val="FEFBCEC0"/>
    <w:rsid w:val="FEFD5367"/>
    <w:rsid w:val="FEFF6333"/>
    <w:rsid w:val="FEFF9B71"/>
    <w:rsid w:val="FF5AD928"/>
    <w:rsid w:val="FFA78690"/>
    <w:rsid w:val="FFD1F077"/>
    <w:rsid w:val="FFDB1BE1"/>
    <w:rsid w:val="FFDE8511"/>
    <w:rsid w:val="FFEBC4F6"/>
    <w:rsid w:val="FFEF5766"/>
    <w:rsid w:val="FFEFA1F9"/>
    <w:rsid w:val="FFF7982C"/>
    <w:rsid w:val="FFFBC0FD"/>
    <w:rsid w:val="FFFD311E"/>
    <w:rsid w:val="FFFDA99B"/>
    <w:rsid w:val="FFFDB110"/>
    <w:rsid w:val="FFFFBEAA"/>
    <w:rsid w:val="FFFFF44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lang w:val="en-US" w:eastAsia="zh-CN" w:bidi="ar-SA"/>
    </w:rPr>
  </w:style>
  <w:style w:type="paragraph" w:styleId="2">
    <w:name w:val="heading 1"/>
    <w:basedOn w:val="1"/>
    <w:next w:val="1"/>
    <w:link w:val="26"/>
    <w:qFormat/>
    <w:uiPriority w:val="0"/>
    <w:pPr>
      <w:keepNext/>
      <w:keepLines/>
      <w:spacing w:before="240" w:line="560" w:lineRule="exact"/>
      <w:ind w:firstLine="426" w:firstLineChars="133"/>
      <w:outlineLvl w:val="0"/>
    </w:pPr>
    <w:rPr>
      <w:rFonts w:ascii="黑体" w:eastAsia="黑体"/>
      <w:bCs/>
      <w:kern w:val="44"/>
      <w:sz w:val="32"/>
      <w:szCs w:val="32"/>
    </w:rPr>
  </w:style>
  <w:style w:type="paragraph" w:styleId="3">
    <w:name w:val="heading 2"/>
    <w:basedOn w:val="1"/>
    <w:next w:val="4"/>
    <w:qFormat/>
    <w:uiPriority w:val="0"/>
    <w:pPr>
      <w:keepNext/>
      <w:numPr>
        <w:ilvl w:val="0"/>
        <w:numId w:val="1"/>
      </w:numPr>
      <w:snapToGrid w:val="0"/>
      <w:spacing w:line="360" w:lineRule="auto"/>
      <w:outlineLvl w:val="1"/>
    </w:pPr>
    <w:rPr>
      <w:rFonts w:ascii="仿宋_GB2312" w:eastAsia="仿宋_GB2312"/>
      <w:sz w:val="30"/>
    </w:rPr>
  </w:style>
  <w:style w:type="character" w:default="1" w:styleId="18">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5">
    <w:name w:val="Document Map"/>
    <w:basedOn w:val="1"/>
    <w:semiHidden/>
    <w:qFormat/>
    <w:uiPriority w:val="0"/>
    <w:pPr>
      <w:shd w:val="clear" w:color="auto" w:fill="000080"/>
    </w:pPr>
  </w:style>
  <w:style w:type="paragraph" w:styleId="6">
    <w:name w:val="annotation text"/>
    <w:basedOn w:val="1"/>
    <w:link w:val="27"/>
    <w:qFormat/>
    <w:uiPriority w:val="0"/>
    <w:pPr>
      <w:jc w:val="left"/>
    </w:pPr>
  </w:style>
  <w:style w:type="paragraph" w:styleId="7">
    <w:name w:val="Body Text"/>
    <w:basedOn w:val="1"/>
    <w:qFormat/>
    <w:uiPriority w:val="0"/>
    <w:rPr>
      <w:sz w:val="32"/>
      <w:szCs w:val="24"/>
    </w:rPr>
  </w:style>
  <w:style w:type="paragraph" w:styleId="8">
    <w:name w:val="Body Text Indent"/>
    <w:basedOn w:val="1"/>
    <w:qFormat/>
    <w:uiPriority w:val="0"/>
    <w:pPr>
      <w:snapToGrid w:val="0"/>
      <w:spacing w:line="360" w:lineRule="auto"/>
      <w:ind w:firstLine="525"/>
    </w:pPr>
    <w:rPr>
      <w:rFonts w:ascii="仿宋_GB2312" w:eastAsia="仿宋_GB2312"/>
      <w:sz w:val="28"/>
    </w:rPr>
  </w:style>
  <w:style w:type="paragraph" w:styleId="9">
    <w:name w:val="Date"/>
    <w:basedOn w:val="1"/>
    <w:next w:val="1"/>
    <w:link w:val="28"/>
    <w:qFormat/>
    <w:uiPriority w:val="0"/>
    <w:pPr>
      <w:ind w:left="100" w:leftChars="2500"/>
    </w:pPr>
  </w:style>
  <w:style w:type="paragraph" w:styleId="10">
    <w:name w:val="Body Text Indent 2"/>
    <w:basedOn w:val="1"/>
    <w:qFormat/>
    <w:uiPriority w:val="0"/>
    <w:pPr>
      <w:snapToGrid w:val="0"/>
      <w:spacing w:line="360" w:lineRule="auto"/>
      <w:ind w:firstLine="525"/>
    </w:pPr>
    <w:rPr>
      <w:rFonts w:ascii="仿宋_GB2312" w:eastAsia="仿宋_GB2312"/>
      <w:sz w:val="30"/>
    </w:rPr>
  </w:style>
  <w:style w:type="paragraph" w:styleId="11">
    <w:name w:val="Balloon Text"/>
    <w:basedOn w:val="1"/>
    <w:semiHidden/>
    <w:qFormat/>
    <w:uiPriority w:val="0"/>
    <w:rPr>
      <w:sz w:val="18"/>
      <w:szCs w:val="18"/>
    </w:rPr>
  </w:style>
  <w:style w:type="paragraph" w:styleId="12">
    <w:name w:val="footer"/>
    <w:basedOn w:val="1"/>
    <w:link w:val="29"/>
    <w:qFormat/>
    <w:uiPriority w:val="99"/>
    <w:pPr>
      <w:tabs>
        <w:tab w:val="center" w:pos="4153"/>
        <w:tab w:val="right" w:pos="8306"/>
      </w:tabs>
      <w:snapToGrid w:val="0"/>
      <w:jc w:val="left"/>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Body Text 2"/>
    <w:basedOn w:val="1"/>
    <w:link w:val="30"/>
    <w:qFormat/>
    <w:uiPriority w:val="0"/>
    <w:rPr>
      <w:sz w:val="30"/>
    </w:rPr>
  </w:style>
  <w:style w:type="paragraph" w:styleId="15">
    <w:name w:val="annotation subject"/>
    <w:basedOn w:val="6"/>
    <w:next w:val="6"/>
    <w:link w:val="31"/>
    <w:qFormat/>
    <w:uiPriority w:val="0"/>
    <w:rPr>
      <w:b/>
      <w:bCs/>
    </w:rPr>
  </w:style>
  <w:style w:type="table" w:styleId="17">
    <w:name w:val="Table Grid"/>
    <w:basedOn w:val="1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9">
    <w:name w:val="page number"/>
    <w:basedOn w:val="18"/>
    <w:qFormat/>
    <w:uiPriority w:val="0"/>
  </w:style>
  <w:style w:type="character" w:styleId="20">
    <w:name w:val="annotation reference"/>
    <w:qFormat/>
    <w:uiPriority w:val="0"/>
    <w:rPr>
      <w:sz w:val="21"/>
      <w:szCs w:val="21"/>
    </w:rPr>
  </w:style>
  <w:style w:type="paragraph" w:styleId="21">
    <w:name w:val="List Paragraph"/>
    <w:basedOn w:val="1"/>
    <w:qFormat/>
    <w:uiPriority w:val="0"/>
    <w:pPr>
      <w:ind w:firstLine="420" w:firstLineChars="200"/>
    </w:pPr>
    <w:rPr>
      <w:szCs w:val="24"/>
    </w:rPr>
  </w:style>
  <w:style w:type="paragraph" w:customStyle="1" w:styleId="22">
    <w:name w:val="List Paragraph1"/>
    <w:basedOn w:val="1"/>
    <w:qFormat/>
    <w:uiPriority w:val="0"/>
    <w:pPr>
      <w:ind w:firstLine="420" w:firstLineChars="200"/>
    </w:pPr>
    <w:rPr>
      <w:szCs w:val="24"/>
    </w:rPr>
  </w:style>
  <w:style w:type="paragraph" w:customStyle="1" w:styleId="23">
    <w:name w:val="Char Char Char Char"/>
    <w:basedOn w:val="1"/>
    <w:qFormat/>
    <w:uiPriority w:val="0"/>
    <w:pPr>
      <w:widowControl/>
      <w:spacing w:line="440" w:lineRule="exact"/>
      <w:jc w:val="left"/>
    </w:pPr>
    <w:rPr>
      <w:rFonts w:cs="Verdana"/>
      <w:kern w:val="0"/>
      <w:sz w:val="24"/>
      <w:szCs w:val="24"/>
      <w:lang w:eastAsia="en-US"/>
    </w:rPr>
  </w:style>
  <w:style w:type="paragraph" w:customStyle="1" w:styleId="24">
    <w:name w:val="font6"/>
    <w:basedOn w:val="1"/>
    <w:qFormat/>
    <w:uiPriority w:val="0"/>
    <w:pPr>
      <w:widowControl/>
      <w:spacing w:before="100" w:beforeAutospacing="1" w:after="100" w:afterAutospacing="1"/>
      <w:jc w:val="left"/>
    </w:pPr>
    <w:rPr>
      <w:rFonts w:hint="eastAsia" w:ascii="宋体" w:hAnsi="宋体"/>
      <w:color w:val="000000"/>
      <w:kern w:val="0"/>
      <w:szCs w:val="21"/>
    </w:rPr>
  </w:style>
  <w:style w:type="paragraph" w:customStyle="1" w:styleId="25">
    <w:name w:val="_Style 24"/>
    <w:unhideWhenUsed/>
    <w:qFormat/>
    <w:uiPriority w:val="99"/>
    <w:rPr>
      <w:rFonts w:ascii="Times New Roman" w:hAnsi="Times New Roman" w:eastAsia="宋体" w:cs="Times New Roman"/>
      <w:kern w:val="2"/>
      <w:sz w:val="21"/>
      <w:lang w:val="en-US" w:eastAsia="zh-CN" w:bidi="ar-SA"/>
    </w:rPr>
  </w:style>
  <w:style w:type="character" w:customStyle="1" w:styleId="26">
    <w:name w:val="标题 1 字符"/>
    <w:link w:val="2"/>
    <w:qFormat/>
    <w:uiPriority w:val="0"/>
    <w:rPr>
      <w:rFonts w:ascii="黑体" w:eastAsia="黑体"/>
      <w:bCs/>
      <w:kern w:val="44"/>
      <w:sz w:val="32"/>
      <w:szCs w:val="32"/>
    </w:rPr>
  </w:style>
  <w:style w:type="character" w:customStyle="1" w:styleId="27">
    <w:name w:val="批注文字 字符"/>
    <w:link w:val="6"/>
    <w:qFormat/>
    <w:uiPriority w:val="0"/>
    <w:rPr>
      <w:kern w:val="2"/>
      <w:sz w:val="21"/>
    </w:rPr>
  </w:style>
  <w:style w:type="character" w:customStyle="1" w:styleId="28">
    <w:name w:val="日期 字符"/>
    <w:link w:val="9"/>
    <w:qFormat/>
    <w:uiPriority w:val="0"/>
    <w:rPr>
      <w:kern w:val="2"/>
      <w:sz w:val="21"/>
    </w:rPr>
  </w:style>
  <w:style w:type="character" w:customStyle="1" w:styleId="29">
    <w:name w:val="页脚 字符"/>
    <w:link w:val="12"/>
    <w:qFormat/>
    <w:uiPriority w:val="99"/>
    <w:rPr>
      <w:kern w:val="2"/>
      <w:sz w:val="18"/>
    </w:rPr>
  </w:style>
  <w:style w:type="character" w:customStyle="1" w:styleId="30">
    <w:name w:val="正文文本 2 字符"/>
    <w:link w:val="14"/>
    <w:qFormat/>
    <w:uiPriority w:val="0"/>
    <w:rPr>
      <w:kern w:val="2"/>
      <w:sz w:val="30"/>
    </w:rPr>
  </w:style>
  <w:style w:type="character" w:customStyle="1" w:styleId="31">
    <w:name w:val="批注主题 字符"/>
    <w:link w:val="15"/>
    <w:qFormat/>
    <w:uiPriority w:val="0"/>
    <w:rPr>
      <w:b/>
      <w:bCs/>
      <w:kern w:val="2"/>
      <w:sz w:val="21"/>
    </w:rPr>
  </w:style>
  <w:style w:type="character" w:customStyle="1" w:styleId="32">
    <w:name w:val="正文文本 2 Char1"/>
    <w:semiHidden/>
    <w:qFormat/>
    <w:locked/>
    <w:uiPriority w:val="0"/>
    <w:rPr>
      <w:kern w:val="2"/>
      <w:sz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BISE</Company>
  <Pages>8</Pages>
  <Words>620</Words>
  <Characters>3539</Characters>
  <Lines>29</Lines>
  <Paragraphs>8</Paragraphs>
  <TotalTime>0</TotalTime>
  <ScaleCrop>false</ScaleCrop>
  <LinksUpToDate>false</LinksUpToDate>
  <CharactersWithSpaces>4151</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2021-10-27T14:04:00Z</dcterms:created>
  <dc:creator>XueHui</dc:creator>
  <cp:lastModifiedBy>ht706</cp:lastModifiedBy>
  <cp:lastPrinted>2016-09-05T19:37:00Z</cp:lastPrinted>
  <dcterms:modified xsi:type="dcterms:W3CDTF">2022-09-28T17:06:14Z</dcterms:modified>
  <dc:title>关于做好目标特征信号控制技术项目“九五”</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